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FF3A" w14:textId="6829A33B" w:rsidR="00E869F0" w:rsidRPr="001955C4" w:rsidRDefault="001955C4" w:rsidP="001955C4">
      <w:pPr>
        <w:jc w:val="center"/>
        <w:rPr>
          <w:b/>
          <w:bCs/>
        </w:rPr>
      </w:pPr>
      <w:r w:rsidRPr="001955C4">
        <w:rPr>
          <w:b/>
          <w:bCs/>
        </w:rPr>
        <w:t>Exhibit A</w:t>
      </w:r>
    </w:p>
    <w:p w14:paraId="3ADB124C" w14:textId="77777777" w:rsidR="001955C4" w:rsidRPr="001955C4" w:rsidRDefault="001955C4" w:rsidP="001955C4">
      <w:r w:rsidRPr="001955C4">
        <w:rPr>
          <w:b/>
          <w:bCs/>
        </w:rPr>
        <w:t>Insurance Requirements for Vendors, Contractors, and Service Providers</w:t>
      </w:r>
    </w:p>
    <w:p w14:paraId="0159C74D" w14:textId="2C07E677" w:rsidR="001955C4" w:rsidRPr="001955C4" w:rsidRDefault="001955C4" w:rsidP="001955C4">
      <w:r w:rsidRPr="001955C4">
        <w:t xml:space="preserve">All contractors, vendors, and service providers performing work, providing services, or delivering products on </w:t>
      </w:r>
      <w:r>
        <w:t>Florida Institute of Technology</w:t>
      </w:r>
      <w:r w:rsidRPr="001955C4">
        <w:t xml:space="preserve"> property are required to maintain insurance coverage that meets the following minimum standards. This insurance protects both the university and the contractor/vendor against potential claims or losses.</w:t>
      </w:r>
    </w:p>
    <w:p w14:paraId="6C3F98B5" w14:textId="77777777" w:rsidR="001955C4" w:rsidRPr="001955C4" w:rsidRDefault="001955C4" w:rsidP="001955C4">
      <w:pPr>
        <w:rPr>
          <w:b/>
          <w:bCs/>
        </w:rPr>
      </w:pPr>
      <w:r w:rsidRPr="001955C4">
        <w:rPr>
          <w:b/>
          <w:bCs/>
        </w:rPr>
        <w:t>General Requirements:</w:t>
      </w:r>
    </w:p>
    <w:p w14:paraId="5ED23963" w14:textId="77777777" w:rsidR="001955C4" w:rsidRPr="001955C4" w:rsidRDefault="001955C4" w:rsidP="001955C4">
      <w:pPr>
        <w:numPr>
          <w:ilvl w:val="0"/>
          <w:numId w:val="1"/>
        </w:numPr>
      </w:pPr>
      <w:r w:rsidRPr="001955C4">
        <w:rPr>
          <w:b/>
          <w:bCs/>
        </w:rPr>
        <w:t>Proof of Insurance:</w:t>
      </w:r>
      <w:r w:rsidRPr="001955C4">
        <w:br/>
        <w:t>Prior to the commencement of any work or services, the vendor must furnish a valid Certificate of Insurance (COI) issued by the insurance provider. The COI must include:</w:t>
      </w:r>
    </w:p>
    <w:p w14:paraId="41F0640E" w14:textId="77777777" w:rsidR="001955C4" w:rsidRPr="001955C4" w:rsidRDefault="001955C4" w:rsidP="001955C4">
      <w:pPr>
        <w:numPr>
          <w:ilvl w:val="1"/>
          <w:numId w:val="1"/>
        </w:numPr>
      </w:pPr>
      <w:r w:rsidRPr="001955C4">
        <w:t>Coverage types and limits.</w:t>
      </w:r>
    </w:p>
    <w:p w14:paraId="3E3B45CD" w14:textId="77777777" w:rsidR="001955C4" w:rsidRPr="001955C4" w:rsidRDefault="001955C4" w:rsidP="001955C4">
      <w:pPr>
        <w:numPr>
          <w:ilvl w:val="1"/>
          <w:numId w:val="1"/>
        </w:numPr>
      </w:pPr>
      <w:r w:rsidRPr="001955C4">
        <w:t>Policy effective and expiration dates.</w:t>
      </w:r>
    </w:p>
    <w:p w14:paraId="02F1A5B7" w14:textId="77777777" w:rsidR="001955C4" w:rsidRPr="001955C4" w:rsidRDefault="001955C4" w:rsidP="001955C4">
      <w:pPr>
        <w:numPr>
          <w:ilvl w:val="1"/>
          <w:numId w:val="1"/>
        </w:numPr>
      </w:pPr>
      <w:r w:rsidRPr="001955C4">
        <w:t xml:space="preserve">Designation of the university as an </w:t>
      </w:r>
      <w:r w:rsidRPr="001955C4">
        <w:rPr>
          <w:b/>
          <w:bCs/>
        </w:rPr>
        <w:t>additional insured</w:t>
      </w:r>
      <w:r w:rsidRPr="001955C4">
        <w:t xml:space="preserve"> where applicable.</w:t>
      </w:r>
    </w:p>
    <w:p w14:paraId="0B6F0199" w14:textId="77777777" w:rsidR="001955C4" w:rsidRPr="001955C4" w:rsidRDefault="001955C4" w:rsidP="001955C4">
      <w:pPr>
        <w:numPr>
          <w:ilvl w:val="1"/>
          <w:numId w:val="1"/>
        </w:numPr>
      </w:pPr>
      <w:r w:rsidRPr="001955C4">
        <w:t>A 30-day notice of cancellation or nonrenewal.</w:t>
      </w:r>
    </w:p>
    <w:p w14:paraId="3C9D1331" w14:textId="77777777" w:rsidR="001955C4" w:rsidRPr="00F50CA2" w:rsidRDefault="001955C4" w:rsidP="001955C4">
      <w:pPr>
        <w:numPr>
          <w:ilvl w:val="0"/>
          <w:numId w:val="1"/>
        </w:numPr>
      </w:pPr>
      <w:r w:rsidRPr="00F50CA2">
        <w:rPr>
          <w:b/>
          <w:bCs/>
        </w:rPr>
        <w:t>Submission of Certificates:</w:t>
      </w:r>
      <w:r w:rsidRPr="00F50CA2">
        <w:br/>
        <w:t>COIs must be submitted to both:</w:t>
      </w:r>
    </w:p>
    <w:p w14:paraId="70F609A4" w14:textId="0816317C" w:rsidR="001955C4" w:rsidRPr="00F50CA2" w:rsidRDefault="001955C4" w:rsidP="001955C4">
      <w:pPr>
        <w:numPr>
          <w:ilvl w:val="1"/>
          <w:numId w:val="1"/>
        </w:numPr>
      </w:pPr>
      <w:r w:rsidRPr="00F50CA2">
        <w:t>Office of Purchasing (purchasing@fit.edu)</w:t>
      </w:r>
    </w:p>
    <w:p w14:paraId="29DCDB1B" w14:textId="77777777" w:rsidR="001955C4" w:rsidRPr="00F50CA2" w:rsidRDefault="001955C4" w:rsidP="001955C4">
      <w:pPr>
        <w:numPr>
          <w:ilvl w:val="1"/>
          <w:numId w:val="1"/>
        </w:numPr>
      </w:pPr>
      <w:r w:rsidRPr="00F50CA2">
        <w:t>Office of Legal and Compliance</w:t>
      </w:r>
      <w:r w:rsidRPr="00F50CA2">
        <w:br/>
        <w:t>These offices will verify compliance with university standards.</w:t>
      </w:r>
    </w:p>
    <w:p w14:paraId="18CE5E79" w14:textId="77777777" w:rsidR="001955C4" w:rsidRPr="001955C4" w:rsidRDefault="001955C4" w:rsidP="001955C4">
      <w:pPr>
        <w:numPr>
          <w:ilvl w:val="0"/>
          <w:numId w:val="1"/>
        </w:numPr>
      </w:pPr>
      <w:r w:rsidRPr="001955C4">
        <w:rPr>
          <w:b/>
          <w:bCs/>
        </w:rPr>
        <w:t>Carrier Requirements:</w:t>
      </w:r>
      <w:r w:rsidRPr="001955C4">
        <w:br/>
        <w:t>All insurance must be provided by carriers authorized to conduct business in the State of Florida.</w:t>
      </w:r>
    </w:p>
    <w:p w14:paraId="400AFC42" w14:textId="77777777" w:rsidR="001955C4" w:rsidRPr="001955C4" w:rsidRDefault="001955C4" w:rsidP="001955C4">
      <w:pPr>
        <w:numPr>
          <w:ilvl w:val="0"/>
          <w:numId w:val="1"/>
        </w:numPr>
      </w:pPr>
      <w:r w:rsidRPr="001955C4">
        <w:rPr>
          <w:b/>
          <w:bCs/>
        </w:rPr>
        <w:t>Renewal Requirement:</w:t>
      </w:r>
      <w:r w:rsidRPr="001955C4">
        <w:br/>
        <w:t>Renewal COIs must be submitted annually until all contracted work/services are completed.</w:t>
      </w:r>
    </w:p>
    <w:p w14:paraId="007C4194" w14:textId="77777777" w:rsidR="001955C4" w:rsidRPr="001955C4" w:rsidRDefault="001955C4" w:rsidP="001955C4">
      <w:pPr>
        <w:numPr>
          <w:ilvl w:val="0"/>
          <w:numId w:val="1"/>
        </w:numPr>
      </w:pPr>
      <w:r w:rsidRPr="001955C4">
        <w:rPr>
          <w:b/>
          <w:bCs/>
        </w:rPr>
        <w:t>Minimum Coverage (Unless Otherwise Specified):</w:t>
      </w:r>
      <w:r w:rsidRPr="001955C4">
        <w:br/>
        <w:t>All coverage limits below represent minimum requirements. Additional or higher limits may be required based on the nature of work.</w:t>
      </w:r>
    </w:p>
    <w:p w14:paraId="39EC76D3" w14:textId="77777777" w:rsidR="001955C4" w:rsidRPr="001955C4" w:rsidRDefault="00F50CA2" w:rsidP="001955C4">
      <w:r>
        <w:pict w14:anchorId="2B5688CE">
          <v:rect id="_x0000_i1025" style="width:0;height:1.5pt" o:hralign="center" o:hrstd="t" o:hr="t" fillcolor="#a0a0a0" stroked="f"/>
        </w:pict>
      </w:r>
    </w:p>
    <w:p w14:paraId="3F974F00" w14:textId="5E5225D9" w:rsidR="001955C4" w:rsidRPr="001955C4" w:rsidRDefault="001955C4" w:rsidP="001955C4">
      <w:pPr>
        <w:rPr>
          <w:b/>
          <w:bCs/>
        </w:rPr>
      </w:pPr>
      <w:r w:rsidRPr="001955C4">
        <w:rPr>
          <w:b/>
          <w:bCs/>
        </w:rPr>
        <w:lastRenderedPageBreak/>
        <w:t>Required Insurance Coverage</w:t>
      </w:r>
      <w:r w:rsidR="00F50CA2">
        <w:rPr>
          <w:b/>
          <w:bCs/>
        </w:rPr>
        <w:t xml:space="preserve"> (as applicable)</w:t>
      </w:r>
      <w:r w:rsidRPr="001955C4">
        <w:rPr>
          <w:b/>
          <w:bCs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66"/>
        <w:gridCol w:w="5402"/>
      </w:tblGrid>
      <w:tr w:rsidR="001955C4" w:rsidRPr="001955C4" w14:paraId="2F366BB1" w14:textId="77777777" w:rsidTr="001955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BE89D8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Type of Insurance</w:t>
            </w:r>
          </w:p>
        </w:tc>
        <w:tc>
          <w:tcPr>
            <w:tcW w:w="0" w:type="auto"/>
            <w:vAlign w:val="center"/>
            <w:hideMark/>
          </w:tcPr>
          <w:p w14:paraId="6ABAEAF3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Minimum Required Limits</w:t>
            </w:r>
          </w:p>
        </w:tc>
        <w:tc>
          <w:tcPr>
            <w:tcW w:w="0" w:type="auto"/>
            <w:vAlign w:val="center"/>
            <w:hideMark/>
          </w:tcPr>
          <w:p w14:paraId="1FD4510F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Additional Notes</w:t>
            </w:r>
          </w:p>
        </w:tc>
      </w:tr>
      <w:tr w:rsidR="001955C4" w:rsidRPr="001955C4" w14:paraId="49150F1E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E2477" w14:textId="77777777" w:rsidR="001955C4" w:rsidRPr="001955C4" w:rsidRDefault="001955C4" w:rsidP="001955C4">
            <w:r w:rsidRPr="001955C4">
              <w:rPr>
                <w:b/>
                <w:bCs/>
              </w:rPr>
              <w:t>Commercial General Liability</w:t>
            </w:r>
          </w:p>
        </w:tc>
        <w:tc>
          <w:tcPr>
            <w:tcW w:w="0" w:type="auto"/>
            <w:vAlign w:val="center"/>
            <w:hideMark/>
          </w:tcPr>
          <w:p w14:paraId="6059C7CA" w14:textId="77777777" w:rsidR="001955C4" w:rsidRPr="001955C4" w:rsidRDefault="001955C4" w:rsidP="001955C4">
            <w:r w:rsidRPr="001955C4">
              <w:t>$1,000,000 per occurrence / $2,000,000 aggregate</w:t>
            </w:r>
          </w:p>
        </w:tc>
        <w:tc>
          <w:tcPr>
            <w:tcW w:w="0" w:type="auto"/>
            <w:vAlign w:val="center"/>
            <w:hideMark/>
          </w:tcPr>
          <w:p w14:paraId="6F527310" w14:textId="36FD0E97" w:rsidR="001955C4" w:rsidRPr="001955C4" w:rsidRDefault="001955C4" w:rsidP="001955C4">
            <w:r w:rsidRPr="001955C4">
              <w:t xml:space="preserve">Must include bodily injury, property damage, products/completed operations, independent contractors, and contractual liability. </w:t>
            </w:r>
            <w:r>
              <w:t xml:space="preserve">Florida Institute of Technology </w:t>
            </w:r>
            <w:r w:rsidRPr="001955C4">
              <w:t xml:space="preserve">must be named as </w:t>
            </w:r>
            <w:r>
              <w:t xml:space="preserve">an </w:t>
            </w:r>
            <w:r w:rsidRPr="001955C4">
              <w:t>additional insured.</w:t>
            </w:r>
          </w:p>
        </w:tc>
      </w:tr>
      <w:tr w:rsidR="001955C4" w:rsidRPr="001955C4" w14:paraId="7D8AFEBB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1D7BA" w14:textId="77777777" w:rsidR="001955C4" w:rsidRPr="001955C4" w:rsidRDefault="001955C4" w:rsidP="001955C4">
            <w:r w:rsidRPr="001955C4">
              <w:rPr>
                <w:b/>
                <w:bCs/>
              </w:rPr>
              <w:t>Automobile Liability</w:t>
            </w:r>
          </w:p>
        </w:tc>
        <w:tc>
          <w:tcPr>
            <w:tcW w:w="0" w:type="auto"/>
            <w:vAlign w:val="center"/>
            <w:hideMark/>
          </w:tcPr>
          <w:p w14:paraId="23EDCEA4" w14:textId="77777777" w:rsidR="001955C4" w:rsidRPr="001955C4" w:rsidRDefault="001955C4" w:rsidP="001955C4">
            <w:r w:rsidRPr="001955C4">
              <w:t>$1,000,000 per occurrence</w:t>
            </w:r>
          </w:p>
        </w:tc>
        <w:tc>
          <w:tcPr>
            <w:tcW w:w="0" w:type="auto"/>
            <w:vAlign w:val="center"/>
            <w:hideMark/>
          </w:tcPr>
          <w:p w14:paraId="751D3BC6" w14:textId="3EEECE89" w:rsidR="001955C4" w:rsidRPr="001955C4" w:rsidRDefault="001955C4" w:rsidP="001955C4">
            <w:r w:rsidRPr="001955C4">
              <w:t>Required for vendors</w:t>
            </w:r>
            <w:r>
              <w:t>/contractors</w:t>
            </w:r>
            <w:r w:rsidRPr="001955C4">
              <w:t xml:space="preserve"> operating vehicles on university property. Must cover owned, hired, and non-owned vehicles.</w:t>
            </w:r>
          </w:p>
        </w:tc>
      </w:tr>
      <w:tr w:rsidR="001955C4" w:rsidRPr="001955C4" w14:paraId="5A37B47F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B4A09" w14:textId="77777777" w:rsidR="001955C4" w:rsidRPr="001955C4" w:rsidRDefault="001955C4" w:rsidP="001955C4">
            <w:r w:rsidRPr="001955C4">
              <w:rPr>
                <w:b/>
                <w:bCs/>
              </w:rPr>
              <w:t>Workers’ Compensation</w:t>
            </w:r>
          </w:p>
        </w:tc>
        <w:tc>
          <w:tcPr>
            <w:tcW w:w="0" w:type="auto"/>
            <w:vAlign w:val="center"/>
            <w:hideMark/>
          </w:tcPr>
          <w:p w14:paraId="41343015" w14:textId="77777777" w:rsidR="001955C4" w:rsidRPr="001955C4" w:rsidRDefault="001955C4" w:rsidP="001955C4">
            <w:r w:rsidRPr="001955C4">
              <w:t>Statutory Limits</w:t>
            </w:r>
          </w:p>
        </w:tc>
        <w:tc>
          <w:tcPr>
            <w:tcW w:w="0" w:type="auto"/>
            <w:vAlign w:val="center"/>
            <w:hideMark/>
          </w:tcPr>
          <w:p w14:paraId="0A25764A" w14:textId="77777777" w:rsidR="001955C4" w:rsidRPr="001955C4" w:rsidRDefault="001955C4" w:rsidP="001955C4">
            <w:r w:rsidRPr="001955C4">
              <w:t>Required per state law.</w:t>
            </w:r>
          </w:p>
        </w:tc>
      </w:tr>
      <w:tr w:rsidR="001955C4" w:rsidRPr="001955C4" w14:paraId="37CA0FBC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44E25" w14:textId="77777777" w:rsidR="001955C4" w:rsidRPr="001955C4" w:rsidRDefault="001955C4" w:rsidP="001955C4">
            <w:r w:rsidRPr="001955C4">
              <w:rPr>
                <w:b/>
                <w:bCs/>
              </w:rPr>
              <w:t>Employer’s Liability</w:t>
            </w:r>
          </w:p>
        </w:tc>
        <w:tc>
          <w:tcPr>
            <w:tcW w:w="0" w:type="auto"/>
            <w:vAlign w:val="center"/>
            <w:hideMark/>
          </w:tcPr>
          <w:p w14:paraId="7406AB65" w14:textId="77777777" w:rsidR="001955C4" w:rsidRPr="001955C4" w:rsidRDefault="001955C4" w:rsidP="001955C4">
            <w:r w:rsidRPr="001955C4">
              <w:t>$1,000,000</w:t>
            </w:r>
          </w:p>
        </w:tc>
        <w:tc>
          <w:tcPr>
            <w:tcW w:w="0" w:type="auto"/>
            <w:vAlign w:val="center"/>
            <w:hideMark/>
          </w:tcPr>
          <w:p w14:paraId="3EEA263F" w14:textId="4B5FFAAE" w:rsidR="001955C4" w:rsidRPr="001955C4" w:rsidRDefault="001955C4" w:rsidP="001955C4">
            <w:r>
              <w:t>None</w:t>
            </w:r>
          </w:p>
        </w:tc>
      </w:tr>
    </w:tbl>
    <w:p w14:paraId="5DCA78C2" w14:textId="77777777" w:rsidR="001955C4" w:rsidRPr="001955C4" w:rsidRDefault="00F50CA2" w:rsidP="001955C4">
      <w:r>
        <w:pict w14:anchorId="31CB1909">
          <v:rect id="_x0000_i1026" style="width:0;height:1.5pt" o:hralign="center" o:hrstd="t" o:hr="t" fillcolor="#a0a0a0" stroked="f"/>
        </w:pict>
      </w:r>
    </w:p>
    <w:p w14:paraId="3B87A609" w14:textId="77777777" w:rsidR="001955C4" w:rsidRPr="001955C4" w:rsidRDefault="001955C4" w:rsidP="001955C4">
      <w:pPr>
        <w:rPr>
          <w:b/>
          <w:bCs/>
        </w:rPr>
      </w:pPr>
      <w:r w:rsidRPr="001955C4">
        <w:rPr>
          <w:b/>
          <w:bCs/>
        </w:rPr>
        <w:t>Additional Insurance (As Applicable):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2050"/>
        <w:gridCol w:w="4823"/>
      </w:tblGrid>
      <w:tr w:rsidR="001955C4" w:rsidRPr="001955C4" w14:paraId="318E7FE0" w14:textId="77777777" w:rsidTr="001955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F96EE6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Type of Insurance</w:t>
            </w:r>
          </w:p>
        </w:tc>
        <w:tc>
          <w:tcPr>
            <w:tcW w:w="0" w:type="auto"/>
            <w:vAlign w:val="center"/>
            <w:hideMark/>
          </w:tcPr>
          <w:p w14:paraId="45206045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Minimum Required Limits</w:t>
            </w:r>
          </w:p>
        </w:tc>
        <w:tc>
          <w:tcPr>
            <w:tcW w:w="0" w:type="auto"/>
            <w:vAlign w:val="center"/>
            <w:hideMark/>
          </w:tcPr>
          <w:p w14:paraId="061A146E" w14:textId="77777777" w:rsidR="001955C4" w:rsidRPr="001955C4" w:rsidRDefault="001955C4" w:rsidP="001955C4">
            <w:pPr>
              <w:rPr>
                <w:b/>
                <w:bCs/>
              </w:rPr>
            </w:pPr>
            <w:r w:rsidRPr="001955C4">
              <w:rPr>
                <w:b/>
                <w:bCs/>
              </w:rPr>
              <w:t>Applies When…</w:t>
            </w:r>
          </w:p>
        </w:tc>
      </w:tr>
      <w:tr w:rsidR="001955C4" w:rsidRPr="001955C4" w14:paraId="585E4463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C8BE4" w14:textId="77777777" w:rsidR="001955C4" w:rsidRPr="001955C4" w:rsidRDefault="001955C4" w:rsidP="001955C4">
            <w:r w:rsidRPr="001955C4">
              <w:rPr>
                <w:b/>
                <w:bCs/>
              </w:rPr>
              <w:t>Liquor Liability</w:t>
            </w:r>
          </w:p>
        </w:tc>
        <w:tc>
          <w:tcPr>
            <w:tcW w:w="0" w:type="auto"/>
            <w:vAlign w:val="center"/>
            <w:hideMark/>
          </w:tcPr>
          <w:p w14:paraId="3C1F89A9" w14:textId="77777777" w:rsidR="001955C4" w:rsidRPr="001955C4" w:rsidRDefault="001955C4" w:rsidP="001955C4">
            <w:r w:rsidRPr="001955C4">
              <w:t>$1,000,000 per occurrence / $2,000,000 aggregate</w:t>
            </w:r>
          </w:p>
        </w:tc>
        <w:tc>
          <w:tcPr>
            <w:tcW w:w="0" w:type="auto"/>
            <w:vAlign w:val="center"/>
            <w:hideMark/>
          </w:tcPr>
          <w:p w14:paraId="20F0FE73" w14:textId="522B266A" w:rsidR="001955C4" w:rsidRPr="001955C4" w:rsidRDefault="001955C4" w:rsidP="001955C4">
            <w:r>
              <w:t>The vendor</w:t>
            </w:r>
            <w:r w:rsidRPr="001955C4">
              <w:t xml:space="preserve"> is serving or distributing alcohol. Higher limits may be required for large events.</w:t>
            </w:r>
          </w:p>
        </w:tc>
      </w:tr>
      <w:tr w:rsidR="001955C4" w:rsidRPr="001955C4" w14:paraId="4834E04D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2762A" w14:textId="77777777" w:rsidR="001955C4" w:rsidRPr="001955C4" w:rsidRDefault="001955C4" w:rsidP="001955C4">
            <w:r w:rsidRPr="001955C4">
              <w:rPr>
                <w:b/>
                <w:bCs/>
              </w:rPr>
              <w:t>Sexual Abuse/Molestation Liability</w:t>
            </w:r>
          </w:p>
        </w:tc>
        <w:tc>
          <w:tcPr>
            <w:tcW w:w="0" w:type="auto"/>
            <w:vAlign w:val="center"/>
            <w:hideMark/>
          </w:tcPr>
          <w:p w14:paraId="492BE7D3" w14:textId="77777777" w:rsidR="001955C4" w:rsidRPr="001955C4" w:rsidRDefault="001955C4" w:rsidP="001955C4">
            <w:r w:rsidRPr="001955C4">
              <w:t>$1,000,000 per occurrence / $2,000,000 aggregate + $3,000,000 umbrella</w:t>
            </w:r>
          </w:p>
        </w:tc>
        <w:tc>
          <w:tcPr>
            <w:tcW w:w="0" w:type="auto"/>
            <w:vAlign w:val="center"/>
            <w:hideMark/>
          </w:tcPr>
          <w:p w14:paraId="6D3965C0" w14:textId="6D19DA72" w:rsidR="001955C4" w:rsidRDefault="001955C4" w:rsidP="001955C4">
            <w:r w:rsidRPr="001955C4">
              <w:t xml:space="preserve">Vendor interacts with minors or vulnerable </w:t>
            </w:r>
            <w:proofErr w:type="gramStart"/>
            <w:r w:rsidRPr="001955C4">
              <w:t>populations</w:t>
            </w:r>
            <w:r>
              <w:t>;</w:t>
            </w:r>
            <w:proofErr w:type="gramEnd"/>
            <w:r>
              <w:t xml:space="preserve"> External youth camps, schools, or organizations with minors</w:t>
            </w:r>
            <w:r w:rsidRPr="001955C4">
              <w:t xml:space="preserve">. Coverage may be included in General Liability or </w:t>
            </w:r>
            <w:r>
              <w:t xml:space="preserve">a </w:t>
            </w:r>
            <w:r w:rsidRPr="001955C4">
              <w:t>separate policy.</w:t>
            </w:r>
          </w:p>
          <w:p w14:paraId="2449997F" w14:textId="77777777" w:rsidR="001955C4" w:rsidRDefault="001955C4" w:rsidP="001955C4"/>
          <w:p w14:paraId="346956D4" w14:textId="4F43F4AB" w:rsidR="001955C4" w:rsidRPr="001955C4" w:rsidRDefault="001955C4" w:rsidP="001955C4"/>
        </w:tc>
      </w:tr>
      <w:tr w:rsidR="001955C4" w:rsidRPr="001955C4" w14:paraId="1A1F6D9E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DC948" w14:textId="77777777" w:rsidR="001955C4" w:rsidRPr="001955C4" w:rsidRDefault="001955C4" w:rsidP="001955C4">
            <w:r w:rsidRPr="001955C4">
              <w:rPr>
                <w:b/>
                <w:bCs/>
              </w:rPr>
              <w:lastRenderedPageBreak/>
              <w:t>Professional Liability (Errors &amp; Omissions)</w:t>
            </w:r>
          </w:p>
        </w:tc>
        <w:tc>
          <w:tcPr>
            <w:tcW w:w="0" w:type="auto"/>
            <w:vAlign w:val="center"/>
            <w:hideMark/>
          </w:tcPr>
          <w:p w14:paraId="6D6FAACB" w14:textId="77777777" w:rsidR="001955C4" w:rsidRPr="001955C4" w:rsidRDefault="001955C4" w:rsidP="001955C4">
            <w:r w:rsidRPr="001955C4">
              <w:t>$1,000,000 per occurrence and aggregate</w:t>
            </w:r>
          </w:p>
        </w:tc>
        <w:tc>
          <w:tcPr>
            <w:tcW w:w="0" w:type="auto"/>
            <w:vAlign w:val="center"/>
            <w:hideMark/>
          </w:tcPr>
          <w:p w14:paraId="6FF80D34" w14:textId="353BE441" w:rsidR="001955C4" w:rsidRPr="001955C4" w:rsidRDefault="001955C4" w:rsidP="001955C4">
            <w:r w:rsidRPr="001955C4">
              <w:t>For licensed professionals and those providing advisory/design</w:t>
            </w:r>
            <w:r>
              <w:t>/consulting</w:t>
            </w:r>
            <w:r w:rsidRPr="001955C4">
              <w:t xml:space="preserve"> services. For architects and engineers: $2,000,000 per occurrence and aggregate.</w:t>
            </w:r>
          </w:p>
        </w:tc>
      </w:tr>
      <w:tr w:rsidR="001955C4" w:rsidRPr="001955C4" w14:paraId="3004BBCC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D0543" w14:textId="77777777" w:rsidR="001955C4" w:rsidRPr="001955C4" w:rsidRDefault="001955C4" w:rsidP="001955C4">
            <w:r w:rsidRPr="001955C4">
              <w:rPr>
                <w:b/>
                <w:bCs/>
              </w:rPr>
              <w:t>Umbrella/Excess Liability</w:t>
            </w:r>
          </w:p>
        </w:tc>
        <w:tc>
          <w:tcPr>
            <w:tcW w:w="0" w:type="auto"/>
            <w:vAlign w:val="center"/>
            <w:hideMark/>
          </w:tcPr>
          <w:p w14:paraId="687FC463" w14:textId="77777777" w:rsidR="001955C4" w:rsidRPr="001955C4" w:rsidRDefault="001955C4" w:rsidP="001955C4">
            <w:r w:rsidRPr="001955C4">
              <w:t>$5,000,000 per occurrence and aggregate</w:t>
            </w:r>
          </w:p>
        </w:tc>
        <w:tc>
          <w:tcPr>
            <w:tcW w:w="0" w:type="auto"/>
            <w:vAlign w:val="center"/>
            <w:hideMark/>
          </w:tcPr>
          <w:p w14:paraId="089DFD22" w14:textId="77777777" w:rsidR="001955C4" w:rsidRPr="001955C4" w:rsidRDefault="001955C4" w:rsidP="001955C4">
            <w:r w:rsidRPr="001955C4">
              <w:t>May be required depending on project scope. Sits above General, Auto, and Professional Liability.</w:t>
            </w:r>
          </w:p>
        </w:tc>
      </w:tr>
      <w:tr w:rsidR="001955C4" w:rsidRPr="001955C4" w14:paraId="05DB7919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54EA9" w14:textId="77777777" w:rsidR="001955C4" w:rsidRPr="001955C4" w:rsidRDefault="001955C4" w:rsidP="001955C4">
            <w:r w:rsidRPr="001955C4">
              <w:rPr>
                <w:b/>
                <w:bCs/>
              </w:rPr>
              <w:t>Cyber Risk Insurance</w:t>
            </w:r>
          </w:p>
        </w:tc>
        <w:tc>
          <w:tcPr>
            <w:tcW w:w="0" w:type="auto"/>
            <w:vAlign w:val="center"/>
            <w:hideMark/>
          </w:tcPr>
          <w:p w14:paraId="20C78329" w14:textId="77777777" w:rsidR="001955C4" w:rsidRPr="001955C4" w:rsidRDefault="001955C4" w:rsidP="001955C4">
            <w:r w:rsidRPr="001955C4">
              <w:t>$2,000,000 per claim</w:t>
            </w:r>
          </w:p>
        </w:tc>
        <w:tc>
          <w:tcPr>
            <w:tcW w:w="0" w:type="auto"/>
            <w:vAlign w:val="center"/>
            <w:hideMark/>
          </w:tcPr>
          <w:p w14:paraId="20FF869A" w14:textId="49AD477A" w:rsidR="001955C4" w:rsidRPr="001955C4" w:rsidRDefault="001955C4" w:rsidP="001955C4">
            <w:r w:rsidRPr="001955C4">
              <w:t>Required when handling private, confidential, or protected information. Maintained post-agreement for 3 years.</w:t>
            </w:r>
          </w:p>
        </w:tc>
      </w:tr>
      <w:tr w:rsidR="001955C4" w:rsidRPr="001955C4" w14:paraId="7D06D8F2" w14:textId="77777777" w:rsidTr="00195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15B92" w14:textId="77777777" w:rsidR="001955C4" w:rsidRPr="001955C4" w:rsidRDefault="001955C4" w:rsidP="001955C4">
            <w:r w:rsidRPr="001955C4">
              <w:rPr>
                <w:b/>
                <w:bCs/>
              </w:rPr>
              <w:t>Environmental Liability</w:t>
            </w:r>
          </w:p>
        </w:tc>
        <w:tc>
          <w:tcPr>
            <w:tcW w:w="0" w:type="auto"/>
            <w:vAlign w:val="center"/>
            <w:hideMark/>
          </w:tcPr>
          <w:p w14:paraId="47E2BF50" w14:textId="77777777" w:rsidR="001955C4" w:rsidRPr="001955C4" w:rsidRDefault="001955C4" w:rsidP="001955C4">
            <w:r w:rsidRPr="001955C4">
              <w:t>$2,000,000 per claim and aggregate</w:t>
            </w:r>
          </w:p>
        </w:tc>
        <w:tc>
          <w:tcPr>
            <w:tcW w:w="0" w:type="auto"/>
            <w:vAlign w:val="center"/>
            <w:hideMark/>
          </w:tcPr>
          <w:p w14:paraId="60D240A5" w14:textId="77777777" w:rsidR="001955C4" w:rsidRPr="001955C4" w:rsidRDefault="001955C4" w:rsidP="001955C4">
            <w:r w:rsidRPr="001955C4">
              <w:t>Required for hazardous material handling, remediation work, or environmental exposures. Higher limits may apply depending on risk.</w:t>
            </w:r>
          </w:p>
        </w:tc>
      </w:tr>
    </w:tbl>
    <w:p w14:paraId="0ABDC868" w14:textId="77777777" w:rsidR="001955C4" w:rsidRPr="001955C4" w:rsidRDefault="00F50CA2" w:rsidP="001955C4">
      <w:r>
        <w:pict w14:anchorId="578C2BB6">
          <v:rect id="_x0000_i1027" style="width:0;height:1.5pt" o:hralign="center" o:hrstd="t" o:hr="t" fillcolor="#a0a0a0" stroked="f"/>
        </w:pict>
      </w:r>
    </w:p>
    <w:p w14:paraId="2DBE0770" w14:textId="77777777" w:rsidR="001955C4" w:rsidRPr="001955C4" w:rsidRDefault="001955C4" w:rsidP="001955C4">
      <w:pPr>
        <w:rPr>
          <w:b/>
          <w:bCs/>
        </w:rPr>
      </w:pPr>
      <w:r w:rsidRPr="001955C4">
        <w:rPr>
          <w:b/>
          <w:bCs/>
        </w:rPr>
        <w:t>Additional Conditions:</w:t>
      </w:r>
    </w:p>
    <w:p w14:paraId="6E301C5E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t xml:space="preserve">The university must be named as </w:t>
      </w:r>
      <w:r w:rsidRPr="001955C4">
        <w:rPr>
          <w:b/>
          <w:bCs/>
        </w:rPr>
        <w:t>additional insured</w:t>
      </w:r>
      <w:r w:rsidRPr="001955C4">
        <w:t xml:space="preserve"> on applicable general liability policies.</w:t>
      </w:r>
    </w:p>
    <w:p w14:paraId="46BD2355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t xml:space="preserve">Insurance must be </w:t>
      </w:r>
      <w:r w:rsidRPr="001955C4">
        <w:rPr>
          <w:b/>
          <w:bCs/>
        </w:rPr>
        <w:t>primary</w:t>
      </w:r>
      <w:r w:rsidRPr="001955C4">
        <w:t xml:space="preserve"> to any insurance maintained by the university.</w:t>
      </w:r>
    </w:p>
    <w:p w14:paraId="61013DFB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rPr>
          <w:b/>
          <w:bCs/>
        </w:rPr>
        <w:t>Workers’ compensation and professional liability policies</w:t>
      </w:r>
      <w:r w:rsidRPr="001955C4">
        <w:t xml:space="preserve"> do </w:t>
      </w:r>
      <w:r w:rsidRPr="001955C4">
        <w:rPr>
          <w:b/>
          <w:bCs/>
        </w:rPr>
        <w:t>not</w:t>
      </w:r>
      <w:r w:rsidRPr="001955C4">
        <w:t xml:space="preserve"> require the university to be named as an additional insured.</w:t>
      </w:r>
    </w:p>
    <w:p w14:paraId="07B3B8AE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rPr>
          <w:b/>
          <w:bCs/>
        </w:rPr>
        <w:t>Claims-made</w:t>
      </w:r>
      <w:r w:rsidRPr="001955C4">
        <w:t xml:space="preserve"> coverage must be clearly indicated on the COI.</w:t>
      </w:r>
    </w:p>
    <w:p w14:paraId="14C08D4E" w14:textId="77777777" w:rsidR="001955C4" w:rsidRPr="001955C4" w:rsidRDefault="001955C4" w:rsidP="001955C4">
      <w:pPr>
        <w:numPr>
          <w:ilvl w:val="0"/>
          <w:numId w:val="2"/>
        </w:numPr>
      </w:pPr>
      <w:r w:rsidRPr="001955C4">
        <w:t xml:space="preserve">Acceptance of a non-compliant COI by the university does </w:t>
      </w:r>
      <w:r w:rsidRPr="001955C4">
        <w:rPr>
          <w:b/>
          <w:bCs/>
        </w:rPr>
        <w:t>not</w:t>
      </w:r>
      <w:r w:rsidRPr="001955C4">
        <w:t xml:space="preserve"> waive these insurance requirements.</w:t>
      </w:r>
    </w:p>
    <w:p w14:paraId="39F9B59D" w14:textId="77777777" w:rsidR="001955C4" w:rsidRPr="001955C4" w:rsidRDefault="00F50CA2" w:rsidP="001955C4">
      <w:r>
        <w:pict w14:anchorId="3775BCDC">
          <v:rect id="_x0000_i1028" style="width:0;height:1.5pt" o:hralign="center" o:hrstd="t" o:hr="t" fillcolor="#a0a0a0" stroked="f"/>
        </w:pict>
      </w:r>
    </w:p>
    <w:p w14:paraId="2CC2E008" w14:textId="67D56871" w:rsidR="001955C4" w:rsidRDefault="001955C4">
      <w:r w:rsidRPr="001955C4">
        <w:rPr>
          <w:b/>
          <w:bCs/>
        </w:rPr>
        <w:t>Contact Information:</w:t>
      </w:r>
      <w:r w:rsidRPr="001955C4">
        <w:br/>
        <w:t>For questions regarding these insurance requirements, please contact the Office of Legal and Compliance</w:t>
      </w:r>
      <w:r>
        <w:t xml:space="preserve"> (</w:t>
      </w:r>
      <w:hyperlink r:id="rId5" w:history="1">
        <w:r w:rsidRPr="00AB095C">
          <w:rPr>
            <w:rStyle w:val="Hyperlink"/>
          </w:rPr>
          <w:t>compliance@fit.edu</w:t>
        </w:r>
      </w:hyperlink>
      <w:r>
        <w:t xml:space="preserve">). </w:t>
      </w:r>
    </w:p>
    <w:sectPr w:rsidR="0019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21A"/>
    <w:multiLevelType w:val="multilevel"/>
    <w:tmpl w:val="E068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B2324"/>
    <w:multiLevelType w:val="multilevel"/>
    <w:tmpl w:val="9B6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979729">
    <w:abstractNumId w:val="0"/>
  </w:num>
  <w:num w:numId="2" w16cid:durableId="160179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4"/>
    <w:rsid w:val="001955C4"/>
    <w:rsid w:val="00223AA9"/>
    <w:rsid w:val="002A4296"/>
    <w:rsid w:val="003F7133"/>
    <w:rsid w:val="004B1913"/>
    <w:rsid w:val="0056639B"/>
    <w:rsid w:val="008357B1"/>
    <w:rsid w:val="00926061"/>
    <w:rsid w:val="00D8565C"/>
    <w:rsid w:val="00E25BD6"/>
    <w:rsid w:val="00E869F0"/>
    <w:rsid w:val="00F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A454B3C"/>
  <w15:chartTrackingRefBased/>
  <w15:docId w15:val="{6D57FE90-A41B-4EC7-BE8D-4EADD3A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5C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95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55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f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Lind</dc:creator>
  <cp:keywords/>
  <dc:description/>
  <cp:lastModifiedBy>Ronelle Mook</cp:lastModifiedBy>
  <cp:revision>2</cp:revision>
  <dcterms:created xsi:type="dcterms:W3CDTF">2025-06-13T17:33:00Z</dcterms:created>
  <dcterms:modified xsi:type="dcterms:W3CDTF">2025-07-11T17:03:00Z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1d3fe99b-596b-4c39-9a90-8feef5375024</vt:lpwstr>
  </property>
</Properties>
</file>