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ED" w:rsidRDefault="00ED04ED" w:rsidP="00ED04ED">
      <w:pPr>
        <w:shd w:val="clear" w:color="auto" w:fill="FFFFFF"/>
        <w:spacing w:after="15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t>OSHA Standards</w:t>
      </w:r>
      <w:bookmarkStart w:id="0" w:name="_GoBack"/>
      <w:bookmarkEnd w:id="0"/>
    </w:p>
    <w:p w:rsidR="00ED04ED" w:rsidRDefault="00ED04ED" w:rsidP="00ED04ED">
      <w:pPr>
        <w:shd w:val="clear" w:color="auto" w:fill="FFFFFF"/>
        <w:spacing w:after="150" w:line="240" w:lineRule="auto"/>
        <w:rPr>
          <w:rFonts w:ascii="Helvetica" w:eastAsia="Times New Roman" w:hAnsi="Helvetica" w:cs="Helvetica"/>
          <w:color w:val="000000"/>
          <w:sz w:val="21"/>
          <w:szCs w:val="21"/>
        </w:rPr>
      </w:pPr>
    </w:p>
    <w:p w:rsidR="00ED04ED" w:rsidRPr="00ED04ED" w:rsidRDefault="00ED04ED" w:rsidP="00ED04ED">
      <w:pPr>
        <w:shd w:val="clear" w:color="auto" w:fill="FFFFFF"/>
        <w:spacing w:after="150" w:line="240" w:lineRule="auto"/>
        <w:rPr>
          <w:rFonts w:ascii="Helvetica" w:eastAsia="Times New Roman" w:hAnsi="Helvetica" w:cs="Helvetica"/>
          <w:color w:val="000000"/>
          <w:sz w:val="21"/>
          <w:szCs w:val="21"/>
        </w:rPr>
      </w:pPr>
      <w:r w:rsidRPr="00ED04ED">
        <w:rPr>
          <w:rFonts w:ascii="Helvetica" w:eastAsia="Times New Roman" w:hAnsi="Helvetica" w:cs="Helvetica"/>
          <w:color w:val="000000"/>
          <w:sz w:val="21"/>
          <w:szCs w:val="21"/>
        </w:rPr>
        <w:t>This section highlights OSHA standards, directives (instruction to OSHA staff), and letters of interpretation (official letters of interpretation of the standards) related to medical screening and surveillance.</w:t>
      </w:r>
    </w:p>
    <w:p w:rsidR="00ED04ED" w:rsidRPr="00ED04ED" w:rsidRDefault="00ED04ED" w:rsidP="00ED04ED">
      <w:pPr>
        <w:shd w:val="clear" w:color="auto" w:fill="FFFFFF"/>
        <w:spacing w:after="150" w:line="240" w:lineRule="auto"/>
        <w:rPr>
          <w:rFonts w:ascii="Helvetica" w:eastAsia="Times New Roman" w:hAnsi="Helvetica" w:cs="Helvetica"/>
          <w:color w:val="333333"/>
          <w:sz w:val="21"/>
          <w:szCs w:val="21"/>
        </w:rPr>
      </w:pPr>
      <w:r w:rsidRPr="00ED04ED">
        <w:rPr>
          <w:rFonts w:ascii="Helvetica" w:eastAsia="Times New Roman" w:hAnsi="Helvetica" w:cs="Helvetica"/>
          <w:color w:val="333333"/>
          <w:sz w:val="21"/>
          <w:szCs w:val="21"/>
        </w:rPr>
        <w:t>General Industry (</w:t>
      </w:r>
      <w:hyperlink r:id="rId5" w:tooltip="29 CFR 1910" w:history="1">
        <w:r w:rsidRPr="00ED04ED">
          <w:rPr>
            <w:rFonts w:ascii="Helvetica" w:eastAsia="Times New Roman" w:hAnsi="Helvetica" w:cs="Helvetica"/>
            <w:color w:val="800080"/>
            <w:sz w:val="21"/>
            <w:szCs w:val="21"/>
          </w:rPr>
          <w:t>29 CFR 1910</w:t>
        </w:r>
      </w:hyperlink>
      <w:r w:rsidRPr="00ED04ED">
        <w:rPr>
          <w:rFonts w:ascii="Helvetica" w:eastAsia="Times New Roman" w:hAnsi="Helvetica" w:cs="Helvetica"/>
          <w:color w:val="333333"/>
          <w:sz w:val="21"/>
          <w:szCs w:val="21"/>
        </w:rPr>
        <w:t>)</w:t>
      </w:r>
    </w:p>
    <w:p w:rsidR="00ED04ED" w:rsidRPr="00ED04ED" w:rsidRDefault="00ED04ED" w:rsidP="00ED04E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 w:anchor="1910_Subpart_H" w:tooltip="1910 Subpart H" w:history="1">
        <w:r w:rsidRPr="00ED04ED">
          <w:rPr>
            <w:rFonts w:ascii="Helvetica" w:eastAsia="Times New Roman" w:hAnsi="Helvetica" w:cs="Helvetica"/>
            <w:color w:val="800080"/>
            <w:sz w:val="21"/>
            <w:szCs w:val="21"/>
          </w:rPr>
          <w:t>1910 Subpart H</w:t>
        </w:r>
      </w:hyperlink>
      <w:r w:rsidRPr="00ED04ED">
        <w:rPr>
          <w:rFonts w:ascii="Helvetica" w:eastAsia="Times New Roman" w:hAnsi="Helvetica" w:cs="Helvetica"/>
          <w:color w:val="000000"/>
          <w:sz w:val="21"/>
          <w:szCs w:val="21"/>
        </w:rPr>
        <w:t>, Hazardous materials</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7" w:tooltip="1910.120" w:history="1">
        <w:r w:rsidRPr="00ED04ED">
          <w:rPr>
            <w:rFonts w:ascii="Helvetica" w:eastAsia="Times New Roman" w:hAnsi="Helvetica" w:cs="Helvetica"/>
            <w:color w:val="800080"/>
            <w:sz w:val="21"/>
            <w:szCs w:val="21"/>
          </w:rPr>
          <w:t>1910.120</w:t>
        </w:r>
      </w:hyperlink>
      <w:r w:rsidRPr="00ED04ED">
        <w:rPr>
          <w:rFonts w:ascii="Helvetica" w:eastAsia="Times New Roman" w:hAnsi="Helvetica" w:cs="Helvetica"/>
          <w:color w:val="000000"/>
          <w:sz w:val="21"/>
          <w:szCs w:val="21"/>
        </w:rPr>
        <w:t>, Hazardous waste operations and emergency response [</w:t>
      </w:r>
      <w:hyperlink r:id="rId8" w:tooltip="Hazardous Waste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9" w:anchor="1910_Subpart_I" w:tooltip="1910 Subpart I" w:history="1">
        <w:r w:rsidRPr="00ED04ED">
          <w:rPr>
            <w:rFonts w:ascii="Helvetica" w:eastAsia="Times New Roman" w:hAnsi="Helvetica" w:cs="Helvetica"/>
            <w:color w:val="800080"/>
            <w:sz w:val="21"/>
            <w:szCs w:val="21"/>
          </w:rPr>
          <w:t>1910 Subpart I</w:t>
        </w:r>
      </w:hyperlink>
      <w:r w:rsidRPr="00ED04ED">
        <w:rPr>
          <w:rFonts w:ascii="Helvetica" w:eastAsia="Times New Roman" w:hAnsi="Helvetica" w:cs="Helvetica"/>
          <w:color w:val="000000"/>
          <w:sz w:val="21"/>
          <w:szCs w:val="21"/>
        </w:rPr>
        <w:t>, Personal protective equipment [</w:t>
      </w:r>
      <w:hyperlink r:id="rId10" w:tooltip="Personal Protective Equipment (PPE)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11" w:tooltip="1910.134" w:history="1">
        <w:r w:rsidRPr="00ED04ED">
          <w:rPr>
            <w:rFonts w:ascii="Helvetica" w:eastAsia="Times New Roman" w:hAnsi="Helvetica" w:cs="Helvetica"/>
            <w:color w:val="800080"/>
            <w:sz w:val="21"/>
            <w:szCs w:val="21"/>
          </w:rPr>
          <w:t>1910.134</w:t>
        </w:r>
      </w:hyperlink>
      <w:r w:rsidRPr="00ED04ED">
        <w:rPr>
          <w:rFonts w:ascii="Helvetica" w:eastAsia="Times New Roman" w:hAnsi="Helvetica" w:cs="Helvetica"/>
          <w:color w:val="000000"/>
          <w:sz w:val="21"/>
          <w:szCs w:val="21"/>
        </w:rPr>
        <w:t>, Respiratory protection [</w:t>
      </w:r>
      <w:hyperlink r:id="rId12" w:tooltip="Respiratory Protection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13" w:anchor="1910_Subpart_Z" w:tooltip="1910 Subpart Z" w:history="1">
        <w:r w:rsidRPr="00ED04ED">
          <w:rPr>
            <w:rFonts w:ascii="Helvetica" w:eastAsia="Times New Roman" w:hAnsi="Helvetica" w:cs="Helvetica"/>
            <w:color w:val="800080"/>
            <w:sz w:val="21"/>
            <w:szCs w:val="21"/>
          </w:rPr>
          <w:t>1910 Subpart Z</w:t>
        </w:r>
      </w:hyperlink>
      <w:r w:rsidRPr="00ED04ED">
        <w:rPr>
          <w:rFonts w:ascii="Helvetica" w:eastAsia="Times New Roman" w:hAnsi="Helvetica" w:cs="Helvetica"/>
          <w:color w:val="000000"/>
          <w:sz w:val="21"/>
          <w:szCs w:val="21"/>
        </w:rPr>
        <w:t>, Toxic and hazardous substances [ </w:t>
      </w:r>
      <w:hyperlink r:id="rId14" w:tooltip="Chemical Hazards and Toxic Substances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15" w:tooltip="1910.1001" w:history="1">
        <w:r w:rsidRPr="00ED04ED">
          <w:rPr>
            <w:rFonts w:ascii="Helvetica" w:eastAsia="Times New Roman" w:hAnsi="Helvetica" w:cs="Helvetica"/>
            <w:color w:val="800080"/>
            <w:sz w:val="21"/>
            <w:szCs w:val="21"/>
          </w:rPr>
          <w:t>1910.1001</w:t>
        </w:r>
      </w:hyperlink>
      <w:r w:rsidRPr="00ED04ED">
        <w:rPr>
          <w:rFonts w:ascii="Helvetica" w:eastAsia="Times New Roman" w:hAnsi="Helvetica" w:cs="Helvetica"/>
          <w:color w:val="000000"/>
          <w:sz w:val="21"/>
          <w:szCs w:val="21"/>
        </w:rPr>
        <w:t>, Asbestos [</w:t>
      </w:r>
      <w:hyperlink r:id="rId16" w:tooltip="Asbestos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17" w:tooltip="Appendix H" w:history="1">
        <w:r w:rsidRPr="00ED04ED">
          <w:rPr>
            <w:rFonts w:ascii="Helvetica" w:eastAsia="Times New Roman" w:hAnsi="Helvetica" w:cs="Helvetica"/>
            <w:color w:val="800080"/>
            <w:sz w:val="21"/>
            <w:szCs w:val="21"/>
          </w:rPr>
          <w:t>Appendix H</w:t>
        </w:r>
      </w:hyperlink>
      <w:r w:rsidRPr="00ED04ED">
        <w:rPr>
          <w:rFonts w:ascii="Helvetica" w:eastAsia="Times New Roman" w:hAnsi="Helvetica" w:cs="Helvetica"/>
          <w:color w:val="000000"/>
          <w:sz w:val="21"/>
          <w:szCs w:val="21"/>
        </w:rPr>
        <w:t>, Medical surveillance guidelines for asbestos (Non-mandatory)</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18" w:tooltip="1910.1003" w:history="1">
        <w:r w:rsidRPr="00ED04ED">
          <w:rPr>
            <w:rFonts w:ascii="Helvetica" w:eastAsia="Times New Roman" w:hAnsi="Helvetica" w:cs="Helvetica"/>
            <w:color w:val="800080"/>
            <w:sz w:val="21"/>
            <w:szCs w:val="21"/>
          </w:rPr>
          <w:t>1910.1003</w:t>
        </w:r>
      </w:hyperlink>
      <w:r w:rsidRPr="00ED04ED">
        <w:rPr>
          <w:rFonts w:ascii="Helvetica" w:eastAsia="Times New Roman" w:hAnsi="Helvetica" w:cs="Helvetica"/>
          <w:color w:val="000000"/>
          <w:sz w:val="21"/>
          <w:szCs w:val="21"/>
        </w:rPr>
        <w:t>, 13 Carcinogens (4-nitrobiphenyl, etc.)</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19" w:tooltip="1910.1004" w:history="1">
        <w:r w:rsidRPr="00ED04ED">
          <w:rPr>
            <w:rFonts w:ascii="Helvetica" w:eastAsia="Times New Roman" w:hAnsi="Helvetica" w:cs="Helvetica"/>
            <w:color w:val="800080"/>
            <w:sz w:val="21"/>
            <w:szCs w:val="21"/>
          </w:rPr>
          <w:t>1910.1004</w:t>
        </w:r>
      </w:hyperlink>
      <w:r w:rsidRPr="00ED04ED">
        <w:rPr>
          <w:rFonts w:ascii="Helvetica" w:eastAsia="Times New Roman" w:hAnsi="Helvetica" w:cs="Helvetica"/>
          <w:color w:val="000000"/>
          <w:sz w:val="21"/>
          <w:szCs w:val="21"/>
        </w:rPr>
        <w:t>, alpha-Naphthylamine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0" w:tooltip="1910.1006" w:history="1">
        <w:r w:rsidRPr="00ED04ED">
          <w:rPr>
            <w:rFonts w:ascii="Helvetica" w:eastAsia="Times New Roman" w:hAnsi="Helvetica" w:cs="Helvetica"/>
            <w:color w:val="800080"/>
            <w:sz w:val="21"/>
            <w:szCs w:val="21"/>
          </w:rPr>
          <w:t>1910.1006</w:t>
        </w:r>
      </w:hyperlink>
      <w:r w:rsidRPr="00ED04ED">
        <w:rPr>
          <w:rFonts w:ascii="Helvetica" w:eastAsia="Times New Roman" w:hAnsi="Helvetica" w:cs="Helvetica"/>
          <w:color w:val="000000"/>
          <w:sz w:val="21"/>
          <w:szCs w:val="21"/>
        </w:rPr>
        <w:t>, Methyl chloromethyl ether</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1" w:tooltip="1910.1007" w:history="1">
        <w:r w:rsidRPr="00ED04ED">
          <w:rPr>
            <w:rFonts w:ascii="Helvetica" w:eastAsia="Times New Roman" w:hAnsi="Helvetica" w:cs="Helvetica"/>
            <w:color w:val="800080"/>
            <w:sz w:val="21"/>
            <w:szCs w:val="21"/>
          </w:rPr>
          <w:t>1910.1007</w:t>
        </w:r>
      </w:hyperlink>
      <w:r w:rsidRPr="00ED04ED">
        <w:rPr>
          <w:rFonts w:ascii="Helvetica" w:eastAsia="Times New Roman" w:hAnsi="Helvetica" w:cs="Helvetica"/>
          <w:color w:val="000000"/>
          <w:sz w:val="21"/>
          <w:szCs w:val="21"/>
        </w:rPr>
        <w:t>, 3,'-Dichlorobenzidine (and its salts)</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2" w:tooltip="1910.1008" w:history="1">
        <w:r w:rsidRPr="00ED04ED">
          <w:rPr>
            <w:rFonts w:ascii="Helvetica" w:eastAsia="Times New Roman" w:hAnsi="Helvetica" w:cs="Helvetica"/>
            <w:color w:val="800080"/>
            <w:sz w:val="21"/>
            <w:szCs w:val="21"/>
          </w:rPr>
          <w:t>1910.1008</w:t>
        </w:r>
      </w:hyperlink>
      <w:r w:rsidRPr="00ED04ED">
        <w:rPr>
          <w:rFonts w:ascii="Helvetica" w:eastAsia="Times New Roman" w:hAnsi="Helvetica" w:cs="Helvetica"/>
          <w:color w:val="000000"/>
          <w:sz w:val="21"/>
          <w:szCs w:val="21"/>
        </w:rPr>
        <w:t>, bis-Chloromethyl ether</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3" w:tooltip="1910.1009" w:history="1">
        <w:r w:rsidRPr="00ED04ED">
          <w:rPr>
            <w:rFonts w:ascii="Helvetica" w:eastAsia="Times New Roman" w:hAnsi="Helvetica" w:cs="Helvetica"/>
            <w:color w:val="800080"/>
            <w:sz w:val="21"/>
            <w:szCs w:val="21"/>
          </w:rPr>
          <w:t>1910.1009</w:t>
        </w:r>
      </w:hyperlink>
      <w:r w:rsidRPr="00ED04ED">
        <w:rPr>
          <w:rFonts w:ascii="Helvetica" w:eastAsia="Times New Roman" w:hAnsi="Helvetica" w:cs="Helvetica"/>
          <w:color w:val="000000"/>
          <w:sz w:val="21"/>
          <w:szCs w:val="21"/>
        </w:rPr>
        <w:t>, beta-Naphthylamine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4" w:tooltip="1910.1010" w:history="1">
        <w:r w:rsidRPr="00ED04ED">
          <w:rPr>
            <w:rFonts w:ascii="Helvetica" w:eastAsia="Times New Roman" w:hAnsi="Helvetica" w:cs="Helvetica"/>
            <w:color w:val="800080"/>
            <w:sz w:val="21"/>
            <w:szCs w:val="21"/>
          </w:rPr>
          <w:t>1910.1010</w:t>
        </w:r>
      </w:hyperlink>
      <w:r w:rsidRPr="00ED04ED">
        <w:rPr>
          <w:rFonts w:ascii="Helvetica" w:eastAsia="Times New Roman" w:hAnsi="Helvetica" w:cs="Helvetica"/>
          <w:color w:val="000000"/>
          <w:sz w:val="21"/>
          <w:szCs w:val="21"/>
        </w:rPr>
        <w:t>, Benzidine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5" w:tooltip="1910.1011" w:history="1">
        <w:r w:rsidRPr="00ED04ED">
          <w:rPr>
            <w:rFonts w:ascii="Helvetica" w:eastAsia="Times New Roman" w:hAnsi="Helvetica" w:cs="Helvetica"/>
            <w:color w:val="800080"/>
            <w:sz w:val="21"/>
            <w:szCs w:val="21"/>
          </w:rPr>
          <w:t>1910.1011</w:t>
        </w:r>
      </w:hyperlink>
      <w:r w:rsidRPr="00ED04ED">
        <w:rPr>
          <w:rFonts w:ascii="Helvetica" w:eastAsia="Times New Roman" w:hAnsi="Helvetica" w:cs="Helvetica"/>
          <w:color w:val="000000"/>
          <w:sz w:val="21"/>
          <w:szCs w:val="21"/>
        </w:rPr>
        <w:t>, 4-Aminodiphenyl</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6" w:tooltip="1910.1012" w:history="1">
        <w:r w:rsidRPr="00ED04ED">
          <w:rPr>
            <w:rFonts w:ascii="Helvetica" w:eastAsia="Times New Roman" w:hAnsi="Helvetica" w:cs="Helvetica"/>
            <w:color w:val="800080"/>
            <w:sz w:val="21"/>
            <w:szCs w:val="21"/>
          </w:rPr>
          <w:t>1910.1012</w:t>
        </w:r>
      </w:hyperlink>
      <w:r w:rsidRPr="00ED04ED">
        <w:rPr>
          <w:rFonts w:ascii="Helvetica" w:eastAsia="Times New Roman" w:hAnsi="Helvetica" w:cs="Helvetica"/>
          <w:color w:val="000000"/>
          <w:sz w:val="21"/>
          <w:szCs w:val="21"/>
        </w:rPr>
        <w:t>, Ethyleneimine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7" w:tooltip="1910.1013" w:history="1">
        <w:r w:rsidRPr="00ED04ED">
          <w:rPr>
            <w:rFonts w:ascii="Helvetica" w:eastAsia="Times New Roman" w:hAnsi="Helvetica" w:cs="Helvetica"/>
            <w:color w:val="800080"/>
            <w:sz w:val="21"/>
            <w:szCs w:val="21"/>
          </w:rPr>
          <w:t>1910.1013</w:t>
        </w:r>
      </w:hyperlink>
      <w:r w:rsidRPr="00ED04ED">
        <w:rPr>
          <w:rFonts w:ascii="Helvetica" w:eastAsia="Times New Roman" w:hAnsi="Helvetica" w:cs="Helvetica"/>
          <w:color w:val="000000"/>
          <w:sz w:val="21"/>
          <w:szCs w:val="21"/>
        </w:rPr>
        <w:t>, beta-Propiolactone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8" w:tooltip="1910.1014" w:history="1">
        <w:r w:rsidRPr="00ED04ED">
          <w:rPr>
            <w:rFonts w:ascii="Helvetica" w:eastAsia="Times New Roman" w:hAnsi="Helvetica" w:cs="Helvetica"/>
            <w:color w:val="800080"/>
            <w:sz w:val="21"/>
            <w:szCs w:val="21"/>
          </w:rPr>
          <w:t>1910.1014</w:t>
        </w:r>
      </w:hyperlink>
      <w:r w:rsidRPr="00ED04ED">
        <w:rPr>
          <w:rFonts w:ascii="Helvetica" w:eastAsia="Times New Roman" w:hAnsi="Helvetica" w:cs="Helvetica"/>
          <w:color w:val="000000"/>
          <w:sz w:val="21"/>
          <w:szCs w:val="21"/>
        </w:rPr>
        <w:t>, 2-Acetylaminofluorene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29" w:tooltip="1910.1015" w:history="1">
        <w:r w:rsidRPr="00ED04ED">
          <w:rPr>
            <w:rFonts w:ascii="Helvetica" w:eastAsia="Times New Roman" w:hAnsi="Helvetica" w:cs="Helvetica"/>
            <w:color w:val="800080"/>
            <w:sz w:val="21"/>
            <w:szCs w:val="21"/>
          </w:rPr>
          <w:t>1910.1015</w:t>
        </w:r>
      </w:hyperlink>
      <w:r w:rsidRPr="00ED04ED">
        <w:rPr>
          <w:rFonts w:ascii="Helvetica" w:eastAsia="Times New Roman" w:hAnsi="Helvetica" w:cs="Helvetica"/>
          <w:color w:val="000000"/>
          <w:sz w:val="21"/>
          <w:szCs w:val="21"/>
        </w:rPr>
        <w:t>, 4-Dimethylaminoazobenzene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30" w:tooltip="1910.1016" w:history="1">
        <w:r w:rsidRPr="00ED04ED">
          <w:rPr>
            <w:rFonts w:ascii="Helvetica" w:eastAsia="Times New Roman" w:hAnsi="Helvetica" w:cs="Helvetica"/>
            <w:color w:val="800080"/>
            <w:sz w:val="21"/>
            <w:szCs w:val="21"/>
          </w:rPr>
          <w:t>1910.1016</w:t>
        </w:r>
      </w:hyperlink>
      <w:r w:rsidRPr="00ED04ED">
        <w:rPr>
          <w:rFonts w:ascii="Helvetica" w:eastAsia="Times New Roman" w:hAnsi="Helvetica" w:cs="Helvetica"/>
          <w:color w:val="000000"/>
          <w:sz w:val="21"/>
          <w:szCs w:val="21"/>
        </w:rPr>
        <w:t>, N-</w:t>
      </w:r>
      <w:proofErr w:type="spellStart"/>
      <w:r w:rsidRPr="00ED04ED">
        <w:rPr>
          <w:rFonts w:ascii="Helvetica" w:eastAsia="Times New Roman" w:hAnsi="Helvetica" w:cs="Helvetica"/>
          <w:color w:val="000000"/>
          <w:sz w:val="21"/>
          <w:szCs w:val="21"/>
        </w:rPr>
        <w:t>Nitrosodimethylamine</w:t>
      </w:r>
      <w:proofErr w:type="spellEnd"/>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31" w:tooltip="1910.1017" w:history="1">
        <w:r w:rsidRPr="00ED04ED">
          <w:rPr>
            <w:rFonts w:ascii="Helvetica" w:eastAsia="Times New Roman" w:hAnsi="Helvetica" w:cs="Helvetica"/>
            <w:color w:val="800080"/>
            <w:sz w:val="21"/>
            <w:szCs w:val="21"/>
          </w:rPr>
          <w:t>1910.1017</w:t>
        </w:r>
      </w:hyperlink>
      <w:r w:rsidRPr="00ED04ED">
        <w:rPr>
          <w:rFonts w:ascii="Helvetica" w:eastAsia="Times New Roman" w:hAnsi="Helvetica" w:cs="Helvetica"/>
          <w:color w:val="000000"/>
          <w:sz w:val="21"/>
          <w:szCs w:val="21"/>
        </w:rPr>
        <w:t>, Vinyl chloride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32" w:tooltip="1910.1018" w:history="1">
        <w:r w:rsidRPr="00ED04ED">
          <w:rPr>
            <w:rFonts w:ascii="Helvetica" w:eastAsia="Times New Roman" w:hAnsi="Helvetica" w:cs="Helvetica"/>
            <w:color w:val="800080"/>
            <w:sz w:val="21"/>
            <w:szCs w:val="21"/>
          </w:rPr>
          <w:t>1910.1018</w:t>
        </w:r>
      </w:hyperlink>
      <w:r w:rsidRPr="00ED04ED">
        <w:rPr>
          <w:rFonts w:ascii="Helvetica" w:eastAsia="Times New Roman" w:hAnsi="Helvetica" w:cs="Helvetica"/>
          <w:color w:val="000000"/>
          <w:sz w:val="21"/>
          <w:szCs w:val="21"/>
        </w:rPr>
        <w:t>, Inorganic Arsenic [</w:t>
      </w:r>
      <w:hyperlink r:id="rId33" w:tooltip="Arsenic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34" w:tooltip="Appendix C" w:history="1">
        <w:r w:rsidRPr="00ED04ED">
          <w:rPr>
            <w:rFonts w:ascii="Helvetica" w:eastAsia="Times New Roman" w:hAnsi="Helvetica" w:cs="Helvetica"/>
            <w:color w:val="800080"/>
            <w:sz w:val="21"/>
            <w:szCs w:val="21"/>
          </w:rPr>
          <w:t>Appendix C</w:t>
        </w:r>
      </w:hyperlink>
      <w:r w:rsidRPr="00ED04ED">
        <w:rPr>
          <w:rFonts w:ascii="Helvetica" w:eastAsia="Times New Roman" w:hAnsi="Helvetica" w:cs="Helvetica"/>
          <w:color w:val="000000"/>
          <w:sz w:val="21"/>
          <w:szCs w:val="21"/>
        </w:rPr>
        <w:t>, Medical surveillance guidelines</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35" w:tooltip="1910.1025" w:history="1">
        <w:r w:rsidRPr="00ED04ED">
          <w:rPr>
            <w:rFonts w:ascii="Helvetica" w:eastAsia="Times New Roman" w:hAnsi="Helvetica" w:cs="Helvetica"/>
            <w:color w:val="800080"/>
            <w:sz w:val="21"/>
            <w:szCs w:val="21"/>
          </w:rPr>
          <w:t>1910.1025</w:t>
        </w:r>
      </w:hyperlink>
      <w:r w:rsidRPr="00ED04ED">
        <w:rPr>
          <w:rFonts w:ascii="Helvetica" w:eastAsia="Times New Roman" w:hAnsi="Helvetica" w:cs="Helvetica"/>
          <w:color w:val="000000"/>
          <w:sz w:val="21"/>
          <w:szCs w:val="21"/>
        </w:rPr>
        <w:t>, Lead [</w:t>
      </w:r>
      <w:hyperlink r:id="rId36" w:tooltip="Lead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37" w:tooltip="1910.1027" w:history="1">
        <w:r w:rsidRPr="00ED04ED">
          <w:rPr>
            <w:rFonts w:ascii="Helvetica" w:eastAsia="Times New Roman" w:hAnsi="Helvetica" w:cs="Helvetica"/>
            <w:color w:val="800080"/>
            <w:sz w:val="21"/>
            <w:szCs w:val="21"/>
          </w:rPr>
          <w:t>1910.1027</w:t>
        </w:r>
      </w:hyperlink>
      <w:r w:rsidRPr="00ED04ED">
        <w:rPr>
          <w:rFonts w:ascii="Helvetica" w:eastAsia="Times New Roman" w:hAnsi="Helvetica" w:cs="Helvetica"/>
          <w:color w:val="000000"/>
          <w:sz w:val="21"/>
          <w:szCs w:val="21"/>
        </w:rPr>
        <w:t>, Cadmium [</w:t>
      </w:r>
      <w:hyperlink r:id="rId38" w:tooltip="Cadmium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39" w:tooltip="1910.1028" w:history="1">
        <w:r w:rsidRPr="00ED04ED">
          <w:rPr>
            <w:rFonts w:ascii="Helvetica" w:eastAsia="Times New Roman" w:hAnsi="Helvetica" w:cs="Helvetica"/>
            <w:color w:val="800080"/>
            <w:sz w:val="21"/>
            <w:szCs w:val="21"/>
          </w:rPr>
          <w:t>1910.1028</w:t>
        </w:r>
      </w:hyperlink>
      <w:r w:rsidRPr="00ED04ED">
        <w:rPr>
          <w:rFonts w:ascii="Helvetica" w:eastAsia="Times New Roman" w:hAnsi="Helvetica" w:cs="Helvetica"/>
          <w:color w:val="000000"/>
          <w:sz w:val="21"/>
          <w:szCs w:val="21"/>
        </w:rPr>
        <w:t>, Benzene [</w:t>
      </w:r>
      <w:hyperlink r:id="rId40" w:tooltip="Benzene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41" w:tooltip="Appendix C" w:history="1">
        <w:r w:rsidRPr="00ED04ED">
          <w:rPr>
            <w:rFonts w:ascii="Helvetica" w:eastAsia="Times New Roman" w:hAnsi="Helvetica" w:cs="Helvetica"/>
            <w:color w:val="800080"/>
            <w:sz w:val="21"/>
            <w:szCs w:val="21"/>
          </w:rPr>
          <w:t>Appendix C</w:t>
        </w:r>
      </w:hyperlink>
      <w:r w:rsidRPr="00ED04ED">
        <w:rPr>
          <w:rFonts w:ascii="Helvetica" w:eastAsia="Times New Roman" w:hAnsi="Helvetica" w:cs="Helvetica"/>
          <w:color w:val="000000"/>
          <w:sz w:val="21"/>
          <w:szCs w:val="21"/>
        </w:rPr>
        <w:t>, Medical surveillance guidelines for benzene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42" w:tooltip="1910.1029" w:history="1">
        <w:r w:rsidRPr="00ED04ED">
          <w:rPr>
            <w:rFonts w:ascii="Helvetica" w:eastAsia="Times New Roman" w:hAnsi="Helvetica" w:cs="Helvetica"/>
            <w:color w:val="800080"/>
            <w:sz w:val="21"/>
            <w:szCs w:val="21"/>
          </w:rPr>
          <w:t>1910.1029</w:t>
        </w:r>
      </w:hyperlink>
      <w:r w:rsidRPr="00ED04ED">
        <w:rPr>
          <w:rFonts w:ascii="Helvetica" w:eastAsia="Times New Roman" w:hAnsi="Helvetica" w:cs="Helvetica"/>
          <w:color w:val="000000"/>
          <w:sz w:val="21"/>
          <w:szCs w:val="21"/>
        </w:rPr>
        <w:t>, Coke oven emissions</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43" w:tooltip="Appendix B" w:history="1">
        <w:r w:rsidRPr="00ED04ED">
          <w:rPr>
            <w:rFonts w:ascii="Helvetica" w:eastAsia="Times New Roman" w:hAnsi="Helvetica" w:cs="Helvetica"/>
            <w:color w:val="800080"/>
            <w:sz w:val="21"/>
            <w:szCs w:val="21"/>
          </w:rPr>
          <w:t>Appendix B</w:t>
        </w:r>
      </w:hyperlink>
      <w:r w:rsidRPr="00ED04ED">
        <w:rPr>
          <w:rFonts w:ascii="Helvetica" w:eastAsia="Times New Roman" w:hAnsi="Helvetica" w:cs="Helvetica"/>
          <w:color w:val="000000"/>
          <w:sz w:val="21"/>
          <w:szCs w:val="21"/>
        </w:rPr>
        <w:t>, Industrial hygiene and medical surveillance guidelines</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44" w:tooltip="1910.1030" w:history="1">
        <w:r w:rsidRPr="00ED04ED">
          <w:rPr>
            <w:rFonts w:ascii="Helvetica" w:eastAsia="Times New Roman" w:hAnsi="Helvetica" w:cs="Helvetica"/>
            <w:color w:val="800080"/>
            <w:sz w:val="21"/>
            <w:szCs w:val="21"/>
          </w:rPr>
          <w:t>1910.1030</w:t>
        </w:r>
      </w:hyperlink>
      <w:r w:rsidRPr="00ED04ED">
        <w:rPr>
          <w:rFonts w:ascii="Helvetica" w:eastAsia="Times New Roman" w:hAnsi="Helvetica" w:cs="Helvetica"/>
          <w:color w:val="000000"/>
          <w:sz w:val="21"/>
          <w:szCs w:val="21"/>
        </w:rPr>
        <w:t>, Bloodborne pathogens [</w:t>
      </w:r>
      <w:hyperlink r:id="rId45" w:tooltip="Bloodborne Pathogens and Needlestick Prevention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46" w:tooltip="1910.1043" w:history="1">
        <w:r w:rsidRPr="00ED04ED">
          <w:rPr>
            <w:rFonts w:ascii="Helvetica" w:eastAsia="Times New Roman" w:hAnsi="Helvetica" w:cs="Helvetica"/>
            <w:color w:val="800080"/>
            <w:sz w:val="21"/>
            <w:szCs w:val="21"/>
          </w:rPr>
          <w:t>1910.1043</w:t>
        </w:r>
      </w:hyperlink>
      <w:r w:rsidRPr="00ED04ED">
        <w:rPr>
          <w:rFonts w:ascii="Helvetica" w:eastAsia="Times New Roman" w:hAnsi="Helvetica" w:cs="Helvetica"/>
          <w:color w:val="000000"/>
          <w:sz w:val="21"/>
          <w:szCs w:val="21"/>
        </w:rPr>
        <w:t>, Cotton dust [</w:t>
      </w:r>
      <w:hyperlink r:id="rId47" w:tooltip="Cotton Dust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48" w:tooltip="1910.1044" w:history="1">
        <w:r w:rsidRPr="00ED04ED">
          <w:rPr>
            <w:rFonts w:ascii="Helvetica" w:eastAsia="Times New Roman" w:hAnsi="Helvetica" w:cs="Helvetica"/>
            <w:color w:val="800080"/>
            <w:sz w:val="21"/>
            <w:szCs w:val="21"/>
          </w:rPr>
          <w:t>1910.1044</w:t>
        </w:r>
      </w:hyperlink>
      <w:r w:rsidRPr="00ED04ED">
        <w:rPr>
          <w:rFonts w:ascii="Helvetica" w:eastAsia="Times New Roman" w:hAnsi="Helvetica" w:cs="Helvetica"/>
          <w:color w:val="000000"/>
          <w:sz w:val="21"/>
          <w:szCs w:val="21"/>
        </w:rPr>
        <w:t>, 1,2-dibromo-3-chloropropane</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49" w:tooltip="Appendix C " w:history="1">
        <w:r w:rsidRPr="00ED04ED">
          <w:rPr>
            <w:rFonts w:ascii="Helvetica" w:eastAsia="Times New Roman" w:hAnsi="Helvetica" w:cs="Helvetica"/>
            <w:color w:val="800080"/>
            <w:sz w:val="21"/>
            <w:szCs w:val="21"/>
          </w:rPr>
          <w:t>Appendix C</w:t>
        </w:r>
      </w:hyperlink>
      <w:r w:rsidRPr="00ED04ED">
        <w:rPr>
          <w:rFonts w:ascii="Helvetica" w:eastAsia="Times New Roman" w:hAnsi="Helvetica" w:cs="Helvetica"/>
          <w:color w:val="000000"/>
          <w:sz w:val="21"/>
          <w:szCs w:val="21"/>
        </w:rPr>
        <w:t>, Medical surveillance guidelines for DBCP</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50" w:tooltip="1910.1045" w:history="1">
        <w:r w:rsidRPr="00ED04ED">
          <w:rPr>
            <w:rFonts w:ascii="Helvetica" w:eastAsia="Times New Roman" w:hAnsi="Helvetica" w:cs="Helvetica"/>
            <w:color w:val="800080"/>
            <w:sz w:val="21"/>
            <w:szCs w:val="21"/>
          </w:rPr>
          <w:t>1910.1045</w:t>
        </w:r>
      </w:hyperlink>
      <w:r w:rsidRPr="00ED04ED">
        <w:rPr>
          <w:rFonts w:ascii="Helvetica" w:eastAsia="Times New Roman" w:hAnsi="Helvetica" w:cs="Helvetica"/>
          <w:color w:val="000000"/>
          <w:sz w:val="21"/>
          <w:szCs w:val="21"/>
        </w:rPr>
        <w:t>, Acrylonitrile</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51" w:tooltip="Appendix C" w:history="1">
        <w:r w:rsidRPr="00ED04ED">
          <w:rPr>
            <w:rFonts w:ascii="Helvetica" w:eastAsia="Times New Roman" w:hAnsi="Helvetica" w:cs="Helvetica"/>
            <w:color w:val="800080"/>
            <w:sz w:val="21"/>
            <w:szCs w:val="21"/>
          </w:rPr>
          <w:t>Appendix C</w:t>
        </w:r>
      </w:hyperlink>
      <w:r w:rsidRPr="00ED04ED">
        <w:rPr>
          <w:rFonts w:ascii="Helvetica" w:eastAsia="Times New Roman" w:hAnsi="Helvetica" w:cs="Helvetica"/>
          <w:color w:val="000000"/>
          <w:sz w:val="21"/>
          <w:szCs w:val="21"/>
        </w:rPr>
        <w:t>, Medical surveillance guidelines for acrylonitrile</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52" w:tooltip="1910.1047" w:history="1">
        <w:r w:rsidRPr="00ED04ED">
          <w:rPr>
            <w:rFonts w:ascii="Helvetica" w:eastAsia="Times New Roman" w:hAnsi="Helvetica" w:cs="Helvetica"/>
            <w:color w:val="800080"/>
            <w:sz w:val="21"/>
            <w:szCs w:val="21"/>
          </w:rPr>
          <w:t>1910.1047</w:t>
        </w:r>
      </w:hyperlink>
      <w:r w:rsidRPr="00ED04ED">
        <w:rPr>
          <w:rFonts w:ascii="Helvetica" w:eastAsia="Times New Roman" w:hAnsi="Helvetica" w:cs="Helvetica"/>
          <w:color w:val="000000"/>
          <w:sz w:val="21"/>
          <w:szCs w:val="21"/>
        </w:rPr>
        <w:t>, Ethylene oxide [</w:t>
      </w:r>
      <w:hyperlink r:id="rId53" w:tooltip="Ethylene Oxide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54" w:tooltip="Appendix C" w:history="1">
        <w:r w:rsidRPr="00ED04ED">
          <w:rPr>
            <w:rFonts w:ascii="Helvetica" w:eastAsia="Times New Roman" w:hAnsi="Helvetica" w:cs="Helvetica"/>
            <w:color w:val="800080"/>
            <w:sz w:val="21"/>
            <w:szCs w:val="21"/>
          </w:rPr>
          <w:t>Appendix C</w:t>
        </w:r>
      </w:hyperlink>
      <w:r w:rsidRPr="00ED04ED">
        <w:rPr>
          <w:rFonts w:ascii="Helvetica" w:eastAsia="Times New Roman" w:hAnsi="Helvetica" w:cs="Helvetica"/>
          <w:color w:val="000000"/>
          <w:sz w:val="21"/>
          <w:szCs w:val="21"/>
        </w:rPr>
        <w:t>, Medical surveillance guidelines for ethylene oxide (Non-mandatory)</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55" w:tooltip="1910.1048" w:history="1">
        <w:r w:rsidRPr="00ED04ED">
          <w:rPr>
            <w:rFonts w:ascii="Helvetica" w:eastAsia="Times New Roman" w:hAnsi="Helvetica" w:cs="Helvetica"/>
            <w:color w:val="800080"/>
            <w:sz w:val="21"/>
            <w:szCs w:val="21"/>
          </w:rPr>
          <w:t>1910.1048</w:t>
        </w:r>
      </w:hyperlink>
      <w:r w:rsidRPr="00ED04ED">
        <w:rPr>
          <w:rFonts w:ascii="Helvetica" w:eastAsia="Times New Roman" w:hAnsi="Helvetica" w:cs="Helvetica"/>
          <w:color w:val="000000"/>
          <w:sz w:val="21"/>
          <w:szCs w:val="21"/>
        </w:rPr>
        <w:t>, Formaldehyde [</w:t>
      </w:r>
      <w:hyperlink r:id="rId56" w:tooltip="Formaldehyde Safety and Health Topics Page" w:history="1">
        <w:r w:rsidRPr="00ED04ED">
          <w:rPr>
            <w:rFonts w:ascii="Helvetica" w:eastAsia="Times New Roman" w:hAnsi="Helvetica" w:cs="Helvetica"/>
            <w:color w:val="800080"/>
            <w:sz w:val="21"/>
            <w:szCs w:val="21"/>
          </w:rPr>
          <w:t>related topic page</w:t>
        </w:r>
      </w:hyperlink>
      <w:r w:rsidRPr="00ED04ED">
        <w:rPr>
          <w:rFonts w:ascii="Helvetica" w:eastAsia="Times New Roman" w:hAnsi="Helvetica" w:cs="Helvetica"/>
          <w:color w:val="000000"/>
          <w:sz w:val="21"/>
          <w:szCs w:val="21"/>
        </w:rPr>
        <w:t>]</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57" w:tooltip="1910.1050" w:history="1">
        <w:r w:rsidRPr="00ED04ED">
          <w:rPr>
            <w:rFonts w:ascii="Helvetica" w:eastAsia="Times New Roman" w:hAnsi="Helvetica" w:cs="Helvetica"/>
            <w:color w:val="800080"/>
            <w:sz w:val="21"/>
            <w:szCs w:val="21"/>
          </w:rPr>
          <w:t>1910.1050</w:t>
        </w:r>
      </w:hyperlink>
      <w:r w:rsidRPr="00ED04ED">
        <w:rPr>
          <w:rFonts w:ascii="Helvetica" w:eastAsia="Times New Roman" w:hAnsi="Helvetica" w:cs="Helvetica"/>
          <w:color w:val="000000"/>
          <w:sz w:val="21"/>
          <w:szCs w:val="21"/>
        </w:rPr>
        <w:t xml:space="preserve">, </w:t>
      </w:r>
      <w:proofErr w:type="spellStart"/>
      <w:r w:rsidRPr="00ED04ED">
        <w:rPr>
          <w:rFonts w:ascii="Helvetica" w:eastAsia="Times New Roman" w:hAnsi="Helvetica" w:cs="Helvetica"/>
          <w:color w:val="000000"/>
          <w:sz w:val="21"/>
          <w:szCs w:val="21"/>
        </w:rPr>
        <w:t>Methylenedianiline</w:t>
      </w:r>
      <w:proofErr w:type="spellEnd"/>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58" w:tooltip="Appendix C" w:history="1">
        <w:r w:rsidRPr="00ED04ED">
          <w:rPr>
            <w:rFonts w:ascii="Helvetica" w:eastAsia="Times New Roman" w:hAnsi="Helvetica" w:cs="Helvetica"/>
            <w:color w:val="800080"/>
            <w:sz w:val="21"/>
            <w:szCs w:val="21"/>
          </w:rPr>
          <w:t>Appendix C</w:t>
        </w:r>
      </w:hyperlink>
      <w:r w:rsidRPr="00ED04ED">
        <w:rPr>
          <w:rFonts w:ascii="Helvetica" w:eastAsia="Times New Roman" w:hAnsi="Helvetica" w:cs="Helvetica"/>
          <w:color w:val="000000"/>
          <w:sz w:val="21"/>
          <w:szCs w:val="21"/>
        </w:rPr>
        <w:t>, Medical surveillance guidelines for MDA</w:t>
      </w:r>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59" w:tooltip="1910.1052 - Methylene Chloride." w:history="1">
        <w:r w:rsidRPr="00ED04ED">
          <w:rPr>
            <w:rFonts w:ascii="Helvetica" w:eastAsia="Times New Roman" w:hAnsi="Helvetica" w:cs="Helvetica"/>
            <w:color w:val="800080"/>
            <w:sz w:val="21"/>
            <w:szCs w:val="21"/>
          </w:rPr>
          <w:t>1910.1052 - Methylene Chloride</w:t>
        </w:r>
      </w:hyperlink>
    </w:p>
    <w:p w:rsidR="00ED04ED" w:rsidRPr="00ED04ED" w:rsidRDefault="00ED04ED" w:rsidP="00ED04ED">
      <w:pPr>
        <w:numPr>
          <w:ilvl w:val="2"/>
          <w:numId w:val="1"/>
        </w:numPr>
        <w:shd w:val="clear" w:color="auto" w:fill="FFFFFF"/>
        <w:spacing w:before="100" w:beforeAutospacing="1" w:after="100" w:afterAutospacing="1" w:line="300" w:lineRule="atLeast"/>
        <w:ind w:left="1125"/>
        <w:rPr>
          <w:rFonts w:ascii="Helvetica" w:eastAsia="Times New Roman" w:hAnsi="Helvetica" w:cs="Helvetica"/>
          <w:color w:val="000000"/>
          <w:sz w:val="21"/>
          <w:szCs w:val="21"/>
        </w:rPr>
      </w:pPr>
      <w:hyperlink r:id="rId60" w:tooltip="1910.1052 App B - Medical Surveillance for Methylene Chloride." w:history="1">
        <w:r w:rsidRPr="00ED04ED">
          <w:rPr>
            <w:rFonts w:ascii="Helvetica" w:eastAsia="Times New Roman" w:hAnsi="Helvetica" w:cs="Helvetica"/>
            <w:color w:val="800080"/>
            <w:sz w:val="21"/>
            <w:szCs w:val="21"/>
          </w:rPr>
          <w:t>1910.1052 App B - Medical Surveillance for Methylene Chloride</w:t>
        </w:r>
      </w:hyperlink>
    </w:p>
    <w:p w:rsidR="00ED04ED" w:rsidRPr="00ED04ED" w:rsidRDefault="00ED04ED" w:rsidP="00ED04ED">
      <w:pPr>
        <w:numPr>
          <w:ilvl w:val="1"/>
          <w:numId w:val="1"/>
        </w:numPr>
        <w:shd w:val="clear" w:color="auto" w:fill="FFFFFF"/>
        <w:spacing w:before="100" w:beforeAutospacing="1" w:after="100" w:afterAutospacing="1" w:line="300" w:lineRule="atLeast"/>
        <w:ind w:left="750"/>
        <w:rPr>
          <w:rFonts w:ascii="Helvetica" w:eastAsia="Times New Roman" w:hAnsi="Helvetica" w:cs="Helvetica"/>
          <w:color w:val="000000"/>
          <w:sz w:val="21"/>
          <w:szCs w:val="21"/>
        </w:rPr>
      </w:pPr>
      <w:hyperlink r:id="rId61" w:tooltip="1910.1450" w:history="1">
        <w:r w:rsidRPr="00ED04ED">
          <w:rPr>
            <w:rFonts w:ascii="Helvetica" w:eastAsia="Times New Roman" w:hAnsi="Helvetica" w:cs="Helvetica"/>
            <w:color w:val="800080"/>
            <w:sz w:val="21"/>
            <w:szCs w:val="21"/>
          </w:rPr>
          <w:t>1910.1450</w:t>
        </w:r>
      </w:hyperlink>
      <w:r w:rsidRPr="00ED04ED">
        <w:rPr>
          <w:rFonts w:ascii="Helvetica" w:eastAsia="Times New Roman" w:hAnsi="Helvetica" w:cs="Helvetica"/>
          <w:color w:val="000000"/>
          <w:sz w:val="21"/>
          <w:szCs w:val="21"/>
        </w:rPr>
        <w:t>, Occupational exposure to hazardous chemicals in the laboratories</w:t>
      </w:r>
    </w:p>
    <w:p w:rsidR="00ED04ED" w:rsidRPr="00ED04ED" w:rsidRDefault="00ED04ED" w:rsidP="00ED04ED">
      <w:pPr>
        <w:shd w:val="clear" w:color="auto" w:fill="FFFFFF"/>
        <w:spacing w:before="75" w:after="150" w:line="300" w:lineRule="atLeast"/>
        <w:outlineLvl w:val="4"/>
        <w:rPr>
          <w:rFonts w:ascii="Helvetica" w:eastAsia="Times New Roman" w:hAnsi="Helvetica" w:cs="Helvetica"/>
          <w:color w:val="000000"/>
          <w:sz w:val="24"/>
          <w:szCs w:val="24"/>
        </w:rPr>
      </w:pPr>
      <w:r w:rsidRPr="00ED04ED">
        <w:rPr>
          <w:rFonts w:ascii="Helvetica" w:eastAsia="Times New Roman" w:hAnsi="Helvetica" w:cs="Helvetica"/>
          <w:color w:val="000000"/>
          <w:sz w:val="24"/>
          <w:szCs w:val="24"/>
        </w:rPr>
        <w:t>Directives</w:t>
      </w:r>
    </w:p>
    <w:p w:rsidR="00ED04ED" w:rsidRPr="00ED04ED" w:rsidRDefault="00ED04ED" w:rsidP="00ED04E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r w:rsidRPr="00ED04ED">
        <w:rPr>
          <w:rFonts w:ascii="Helvetica" w:eastAsia="Times New Roman" w:hAnsi="Helvetica" w:cs="Helvetica"/>
          <w:i/>
          <w:iCs/>
          <w:color w:val="000000"/>
          <w:sz w:val="21"/>
          <w:szCs w:val="21"/>
        </w:rPr>
        <w:t>National Emphasis Program - Microwave Popcorn Processing Plants</w:t>
      </w:r>
      <w:r w:rsidRPr="00ED04ED">
        <w:rPr>
          <w:rFonts w:ascii="Helvetica" w:eastAsia="Times New Roman" w:hAnsi="Helvetica" w:cs="Helvetica"/>
          <w:color w:val="000000"/>
          <w:sz w:val="21"/>
          <w:szCs w:val="21"/>
        </w:rPr>
        <w:t xml:space="preserve">. DIR 11-01 (CPL 03), (January 18, 2011). </w:t>
      </w:r>
      <w:proofErr w:type="gramStart"/>
      <w:r w:rsidRPr="00ED04ED">
        <w:rPr>
          <w:rFonts w:ascii="Helvetica" w:eastAsia="Times New Roman" w:hAnsi="Helvetica" w:cs="Helvetica"/>
          <w:color w:val="000000"/>
          <w:sz w:val="21"/>
          <w:szCs w:val="21"/>
        </w:rPr>
        <w:t>Similar to</w:t>
      </w:r>
      <w:proofErr w:type="gramEnd"/>
      <w:r w:rsidRPr="00ED04ED">
        <w:rPr>
          <w:rFonts w:ascii="Helvetica" w:eastAsia="Times New Roman" w:hAnsi="Helvetica" w:cs="Helvetica"/>
          <w:color w:val="000000"/>
          <w:sz w:val="21"/>
          <w:szCs w:val="21"/>
        </w:rPr>
        <w:t xml:space="preserve"> the expired 2007 NEP, CPL 03-00-005, and described policies and procedures for implementing an emphasis program to identify and reduce or eliminate exposures to butter-flavoring chemicals - such as diacetyl and chemical substitutes - used in microwave popcorn manufacturing facilities.</w:t>
      </w:r>
    </w:p>
    <w:p w:rsidR="00ED04ED" w:rsidRPr="00ED04ED" w:rsidRDefault="00ED04ED" w:rsidP="00ED04E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r w:rsidRPr="00ED04ED">
        <w:rPr>
          <w:rFonts w:ascii="Helvetica" w:eastAsia="Times New Roman" w:hAnsi="Helvetica" w:cs="Helvetica"/>
          <w:i/>
          <w:iCs/>
          <w:color w:val="000000"/>
          <w:sz w:val="21"/>
          <w:szCs w:val="21"/>
        </w:rPr>
        <w:t>National Emphasis Program - Facilities that Manufacture Food Flavorings Containing Diacetyl</w:t>
      </w:r>
      <w:r w:rsidRPr="00ED04ED">
        <w:rPr>
          <w:rFonts w:ascii="Helvetica" w:eastAsia="Times New Roman" w:hAnsi="Helvetica" w:cs="Helvetica"/>
          <w:color w:val="000000"/>
          <w:sz w:val="21"/>
          <w:szCs w:val="21"/>
        </w:rPr>
        <w:t>. CPL 03-00-011, (October 30, 2009). Describes policies and procedures for implementing an emphasis program to identify and reduce or eliminate hazards associated with exposures to flavoring chemicals in any facility that manufactures food flavorings containing diacetyl. This instruction is available on the public page.</w:t>
      </w:r>
    </w:p>
    <w:p w:rsidR="00ED04ED" w:rsidRPr="00ED04ED" w:rsidRDefault="00ED04ED" w:rsidP="00ED04E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r w:rsidRPr="00ED04ED">
        <w:rPr>
          <w:rFonts w:ascii="Helvetica" w:eastAsia="Times New Roman" w:hAnsi="Helvetica" w:cs="Helvetica"/>
          <w:i/>
          <w:iCs/>
          <w:color w:val="000000"/>
          <w:sz w:val="21"/>
          <w:szCs w:val="21"/>
        </w:rPr>
        <w:t>National Emphasis Program - Microwave Popcorn Processing Plants</w:t>
      </w:r>
      <w:r w:rsidRPr="00ED04ED">
        <w:rPr>
          <w:rFonts w:ascii="Helvetica" w:eastAsia="Times New Roman" w:hAnsi="Helvetica" w:cs="Helvetica"/>
          <w:color w:val="000000"/>
          <w:sz w:val="21"/>
          <w:szCs w:val="21"/>
        </w:rPr>
        <w:t>. CPL 03-00-005, (July 27, 2007) (Expired as of July 27, 2008). Described policies and procedures for implementing an emphasis program to identify and reduce or eliminate exposure to butter-flavoring chemicals - such as diacetyl - used in microwave popcorn manufacturing facilities.</w:t>
      </w:r>
    </w:p>
    <w:p w:rsidR="00ED04ED" w:rsidRPr="00ED04ED" w:rsidRDefault="00ED04ED" w:rsidP="00ED04ED">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2" w:tooltip="OSHA Medical Surveillance Regulations - Genetic Testing" w:history="1">
        <w:r w:rsidRPr="00ED04ED">
          <w:rPr>
            <w:rFonts w:ascii="Helvetica" w:eastAsia="Times New Roman" w:hAnsi="Helvetica" w:cs="Helvetica"/>
            <w:color w:val="800080"/>
            <w:sz w:val="21"/>
            <w:szCs w:val="21"/>
          </w:rPr>
          <w:t>OSHA Medical Surveillance Regulations - Genetic Testing</w:t>
        </w:r>
      </w:hyperlink>
      <w:r w:rsidRPr="00ED04ED">
        <w:rPr>
          <w:rFonts w:ascii="Helvetica" w:eastAsia="Times New Roman" w:hAnsi="Helvetica" w:cs="Helvetica"/>
          <w:color w:val="000000"/>
          <w:sz w:val="21"/>
          <w:szCs w:val="21"/>
        </w:rPr>
        <w:t>. STD 01-23-004 [STD 1-23.4], (August 22, 1980). Provides an interpretation of OSHA health standards that require medical surveillance programs specifying a medical history with family and occupational background, including genetic and environmental factors.</w:t>
      </w:r>
    </w:p>
    <w:p w:rsidR="00ED04ED" w:rsidRPr="00ED04ED" w:rsidRDefault="00ED04ED" w:rsidP="00ED04ED">
      <w:pPr>
        <w:shd w:val="clear" w:color="auto" w:fill="FFFFFF"/>
        <w:spacing w:before="75" w:after="150" w:line="300" w:lineRule="atLeast"/>
        <w:outlineLvl w:val="4"/>
        <w:rPr>
          <w:rFonts w:ascii="Helvetica" w:eastAsia="Times New Roman" w:hAnsi="Helvetica" w:cs="Helvetica"/>
          <w:color w:val="000000"/>
          <w:sz w:val="24"/>
          <w:szCs w:val="24"/>
        </w:rPr>
      </w:pPr>
      <w:r w:rsidRPr="00ED04ED">
        <w:rPr>
          <w:rFonts w:ascii="Helvetica" w:eastAsia="Times New Roman" w:hAnsi="Helvetica" w:cs="Helvetica"/>
          <w:color w:val="000000"/>
          <w:sz w:val="24"/>
          <w:szCs w:val="24"/>
        </w:rPr>
        <w:t>Letters of Interpretation</w:t>
      </w:r>
    </w:p>
    <w:p w:rsidR="00ED04ED" w:rsidRPr="00ED04ED" w:rsidRDefault="00ED04ED" w:rsidP="00ED04E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3" w:tooltip="HAZWOPER medical examinations must be offered at a reasonable time and without cost to the employee" w:history="1">
        <w:r w:rsidRPr="00ED04ED">
          <w:rPr>
            <w:rFonts w:ascii="Helvetica" w:eastAsia="Times New Roman" w:hAnsi="Helvetica" w:cs="Helvetica"/>
            <w:color w:val="800080"/>
            <w:sz w:val="21"/>
            <w:szCs w:val="21"/>
          </w:rPr>
          <w:t>HAZWOPER medical examinations must be offered at a reasonable time and without cost to the employee</w:t>
        </w:r>
      </w:hyperlink>
      <w:r w:rsidRPr="00ED04ED">
        <w:rPr>
          <w:rFonts w:ascii="Helvetica" w:eastAsia="Times New Roman" w:hAnsi="Helvetica" w:cs="Helvetica"/>
          <w:color w:val="000000"/>
          <w:sz w:val="21"/>
          <w:szCs w:val="21"/>
        </w:rPr>
        <w:t>. (September 25, 2002).</w:t>
      </w:r>
    </w:p>
    <w:p w:rsidR="00ED04ED" w:rsidRPr="00ED04ED" w:rsidRDefault="00ED04ED" w:rsidP="00ED04E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4" w:tooltip="Respiratory protection, medical surveillance, and training requirements under HAZWOPER" w:history="1">
        <w:r w:rsidRPr="00ED04ED">
          <w:rPr>
            <w:rFonts w:ascii="Helvetica" w:eastAsia="Times New Roman" w:hAnsi="Helvetica" w:cs="Helvetica"/>
            <w:color w:val="800080"/>
            <w:sz w:val="21"/>
            <w:szCs w:val="21"/>
          </w:rPr>
          <w:t>Respiratory protection, medical surveillance, and training requirements under HAZWOPER</w:t>
        </w:r>
      </w:hyperlink>
      <w:r w:rsidRPr="00ED04ED">
        <w:rPr>
          <w:rFonts w:ascii="Helvetica" w:eastAsia="Times New Roman" w:hAnsi="Helvetica" w:cs="Helvetica"/>
          <w:color w:val="000000"/>
          <w:sz w:val="21"/>
          <w:szCs w:val="21"/>
        </w:rPr>
        <w:t>. (September 24, 2002).</w:t>
      </w:r>
    </w:p>
    <w:p w:rsidR="00ED04ED" w:rsidRPr="00ED04ED" w:rsidRDefault="00ED04ED" w:rsidP="00ED04E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5" w:tooltip="Access to employee exposure and medical records" w:history="1">
        <w:r w:rsidRPr="00ED04ED">
          <w:rPr>
            <w:rFonts w:ascii="Helvetica" w:eastAsia="Times New Roman" w:hAnsi="Helvetica" w:cs="Helvetica"/>
            <w:color w:val="800080"/>
            <w:sz w:val="21"/>
            <w:szCs w:val="21"/>
          </w:rPr>
          <w:t>Access to employee exposure and medical records</w:t>
        </w:r>
      </w:hyperlink>
      <w:r w:rsidRPr="00ED04ED">
        <w:rPr>
          <w:rFonts w:ascii="Helvetica" w:eastAsia="Times New Roman" w:hAnsi="Helvetica" w:cs="Helvetica"/>
          <w:color w:val="000000"/>
          <w:sz w:val="21"/>
          <w:szCs w:val="21"/>
        </w:rPr>
        <w:t>. (October 29, 1997).</w:t>
      </w:r>
    </w:p>
    <w:p w:rsidR="00ED04ED" w:rsidRPr="00ED04ED" w:rsidRDefault="00ED04ED" w:rsidP="00ED04E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6" w:tooltip="OSHA policy regarding medical surveillance requirements" w:history="1">
        <w:r w:rsidRPr="00ED04ED">
          <w:rPr>
            <w:rFonts w:ascii="Helvetica" w:eastAsia="Times New Roman" w:hAnsi="Helvetica" w:cs="Helvetica"/>
            <w:color w:val="800080"/>
            <w:sz w:val="21"/>
            <w:szCs w:val="21"/>
          </w:rPr>
          <w:t>OSHA policy regarding medical surveillance requirements</w:t>
        </w:r>
      </w:hyperlink>
      <w:r w:rsidRPr="00ED04ED">
        <w:rPr>
          <w:rFonts w:ascii="Helvetica" w:eastAsia="Times New Roman" w:hAnsi="Helvetica" w:cs="Helvetica"/>
          <w:color w:val="000000"/>
          <w:sz w:val="21"/>
          <w:szCs w:val="21"/>
        </w:rPr>
        <w:t>. (August 6, 1987).</w:t>
      </w:r>
    </w:p>
    <w:p w:rsidR="00ED04ED" w:rsidRPr="00ED04ED" w:rsidRDefault="00ED04ED" w:rsidP="00ED04ED">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000000"/>
          <w:sz w:val="21"/>
          <w:szCs w:val="21"/>
        </w:rPr>
      </w:pPr>
      <w:hyperlink r:id="rId67" w:tooltip="Medical surveillance is not required for terminated employees" w:history="1">
        <w:r w:rsidRPr="00ED04ED">
          <w:rPr>
            <w:rFonts w:ascii="Helvetica" w:eastAsia="Times New Roman" w:hAnsi="Helvetica" w:cs="Helvetica"/>
            <w:color w:val="800080"/>
            <w:sz w:val="21"/>
            <w:szCs w:val="21"/>
          </w:rPr>
          <w:t>Medical surveillance is not required for terminated employees</w:t>
        </w:r>
      </w:hyperlink>
      <w:r w:rsidRPr="00ED04ED">
        <w:rPr>
          <w:rFonts w:ascii="Helvetica" w:eastAsia="Times New Roman" w:hAnsi="Helvetica" w:cs="Helvetica"/>
          <w:color w:val="000000"/>
          <w:sz w:val="21"/>
          <w:szCs w:val="21"/>
        </w:rPr>
        <w:t>. (February 29, 1984).</w:t>
      </w:r>
    </w:p>
    <w:p w:rsidR="008D3EDA" w:rsidRDefault="008D3EDA" w:rsidP="00ED04ED">
      <w:pPr>
        <w:spacing w:after="0" w:line="240" w:lineRule="auto"/>
      </w:pPr>
    </w:p>
    <w:sectPr w:rsidR="008D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4C05"/>
    <w:multiLevelType w:val="multilevel"/>
    <w:tmpl w:val="1E24A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A03"/>
    <w:multiLevelType w:val="multilevel"/>
    <w:tmpl w:val="FBC20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D7146"/>
    <w:multiLevelType w:val="multilevel"/>
    <w:tmpl w:val="B3FA0A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ED"/>
    <w:rsid w:val="008D3EDA"/>
    <w:rsid w:val="00ED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DFC5"/>
  <w15:chartTrackingRefBased/>
  <w15:docId w15:val="{6F7310BE-65AC-41B9-BD32-81C1A3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ha.gov/pls/oshaweb/owadisp.show_document?p_table=STANDARDS&amp;p_id=10016" TargetMode="External"/><Relationship Id="rId21" Type="http://schemas.openxmlformats.org/officeDocument/2006/relationships/hyperlink" Target="https://www.osha.gov/pls/oshaweb/owadisp.show_document?p_table=STANDARDS&amp;p_id=10011" TargetMode="External"/><Relationship Id="rId42" Type="http://schemas.openxmlformats.org/officeDocument/2006/relationships/hyperlink" Target="https://www.osha.gov/pls/oshaweb/owadisp.show_document?p_table=STANDARDS&amp;p_id=10048" TargetMode="External"/><Relationship Id="rId47" Type="http://schemas.openxmlformats.org/officeDocument/2006/relationships/hyperlink" Target="https://www.osha.gov/SLTC/cottondust/index.html" TargetMode="External"/><Relationship Id="rId63" Type="http://schemas.openxmlformats.org/officeDocument/2006/relationships/hyperlink" Target="https://www.osha.gov/pls/oshaweb/owadisp.show_document?p_table=INTERPRETATIONS&amp;p_id=24456" TargetMode="External"/><Relationship Id="rId68" Type="http://schemas.openxmlformats.org/officeDocument/2006/relationships/fontTable" Target="fontTable.xml"/><Relationship Id="rId7" Type="http://schemas.openxmlformats.org/officeDocument/2006/relationships/hyperlink" Target="https://www.osha.gov/pls/oshaweb/owadisp.show_document?p_table=STANDARDS&amp;p_id=9765" TargetMode="External"/><Relationship Id="rId2" Type="http://schemas.openxmlformats.org/officeDocument/2006/relationships/styles" Target="styles.xml"/><Relationship Id="rId16" Type="http://schemas.openxmlformats.org/officeDocument/2006/relationships/hyperlink" Target="https://www.osha.gov/SLTC/asbestos/index.html" TargetMode="External"/><Relationship Id="rId29" Type="http://schemas.openxmlformats.org/officeDocument/2006/relationships/hyperlink" Target="https://www.osha.gov/pls/oshaweb/owadisp.show_document?p_table=STANDARDS&amp;p_id=10019" TargetMode="External"/><Relationship Id="rId11" Type="http://schemas.openxmlformats.org/officeDocument/2006/relationships/hyperlink" Target="https://www.osha.gov/pls/oshaweb/owadisp.show_document?p_table=STANDARDS&amp;p_id=12716" TargetMode="External"/><Relationship Id="rId24" Type="http://schemas.openxmlformats.org/officeDocument/2006/relationships/hyperlink" Target="https://www.osha.gov/pls/oshaweb/owadisp.show_document?p_table=STANDARDS&amp;p_id=10014" TargetMode="External"/><Relationship Id="rId32" Type="http://schemas.openxmlformats.org/officeDocument/2006/relationships/hyperlink" Target="https://www.osha.gov/pls/oshaweb/owadisp.show_document?p_table=STANDARDS&amp;p_id=10023" TargetMode="External"/><Relationship Id="rId37" Type="http://schemas.openxmlformats.org/officeDocument/2006/relationships/hyperlink" Target="https://www.osha.gov/pls/oshaweb/owadisp.show_document?p_table=STANDARDS&amp;p_id=10035" TargetMode="External"/><Relationship Id="rId40" Type="http://schemas.openxmlformats.org/officeDocument/2006/relationships/hyperlink" Target="https://www.osha.gov/SLTC/benzene/index.html" TargetMode="External"/><Relationship Id="rId45" Type="http://schemas.openxmlformats.org/officeDocument/2006/relationships/hyperlink" Target="https://www.osha.gov/SLTC/bloodbornepathogens/index.html" TargetMode="External"/><Relationship Id="rId53" Type="http://schemas.openxmlformats.org/officeDocument/2006/relationships/hyperlink" Target="https://www.osha.gov/SLTC/ethyleneoxide/index.html" TargetMode="External"/><Relationship Id="rId58" Type="http://schemas.openxmlformats.org/officeDocument/2006/relationships/hyperlink" Target="https://www.osha.gov/pls/oshaweb/owadisp.show_document?p_table=STANDARDS&amp;p_id=10084" TargetMode="External"/><Relationship Id="rId66" Type="http://schemas.openxmlformats.org/officeDocument/2006/relationships/hyperlink" Target="https://www.osha.gov/pls/oshaweb/owadisp.show_document?p_table=INTERPRETATIONS&amp;p_id=19572" TargetMode="External"/><Relationship Id="rId5" Type="http://schemas.openxmlformats.org/officeDocument/2006/relationships/hyperlink" Target="https://www.osha.gov/pls/oshaweb/owastand.display_standard_group?p_toc_level=1&amp;p_part_number=1910" TargetMode="External"/><Relationship Id="rId61" Type="http://schemas.openxmlformats.org/officeDocument/2006/relationships/hyperlink" Target="https://www.osha.gov/pls/oshaweb/owadisp.show_document?p_table=STANDARDS&amp;p_id=10106" TargetMode="External"/><Relationship Id="rId19" Type="http://schemas.openxmlformats.org/officeDocument/2006/relationships/hyperlink" Target="https://www.osha.gov/pls/oshaweb/owadisp.show_document?p_table=STANDARDS&amp;p_id=10008" TargetMode="External"/><Relationship Id="rId14" Type="http://schemas.openxmlformats.org/officeDocument/2006/relationships/hyperlink" Target="https://www.osha.gov/SLTC/hazardoustoxicsubstances/index.html" TargetMode="External"/><Relationship Id="rId22" Type="http://schemas.openxmlformats.org/officeDocument/2006/relationships/hyperlink" Target="https://www.osha.gov/pls/oshaweb/owadisp.show_document?p_table=STANDARDS&amp;p_id=10012" TargetMode="External"/><Relationship Id="rId27" Type="http://schemas.openxmlformats.org/officeDocument/2006/relationships/hyperlink" Target="https://www.osha.gov/pls/oshaweb/owadisp.show_document?p_table=STANDARDS&amp;p_id=10017" TargetMode="External"/><Relationship Id="rId30" Type="http://schemas.openxmlformats.org/officeDocument/2006/relationships/hyperlink" Target="https://www.osha.gov/pls/oshaweb/owadisp.show_document?p_table=STANDARDS&amp;p_id=10020" TargetMode="External"/><Relationship Id="rId35" Type="http://schemas.openxmlformats.org/officeDocument/2006/relationships/hyperlink" Target="https://www.osha.gov/pls/oshaweb/owadisp.show_document?p_table=STANDARDS&amp;p_id=10030" TargetMode="External"/><Relationship Id="rId43" Type="http://schemas.openxmlformats.org/officeDocument/2006/relationships/hyperlink" Target="https://www.osha.gov/pls/oshaweb/owadisp.show_document?p_table=STANDARDS&amp;p_id=10050" TargetMode="External"/><Relationship Id="rId48" Type="http://schemas.openxmlformats.org/officeDocument/2006/relationships/hyperlink" Target="https://www.osha.gov/pls/oshaweb/owadisp.show_document?p_table=STANDARDS&amp;p_id=10061" TargetMode="External"/><Relationship Id="rId56" Type="http://schemas.openxmlformats.org/officeDocument/2006/relationships/hyperlink" Target="https://www.osha.gov/SLTC/formaldehyde/index.html" TargetMode="External"/><Relationship Id="rId64" Type="http://schemas.openxmlformats.org/officeDocument/2006/relationships/hyperlink" Target="https://www.osha.gov/pls/oshaweb/owadisp.show_document?p_table=INTERPRETATIONS&amp;p_id=24461" TargetMode="External"/><Relationship Id="rId69" Type="http://schemas.openxmlformats.org/officeDocument/2006/relationships/theme" Target="theme/theme1.xml"/><Relationship Id="rId8" Type="http://schemas.openxmlformats.org/officeDocument/2006/relationships/hyperlink" Target="https://www.osha.gov/SLTC/hazardouswaste/index.html" TargetMode="External"/><Relationship Id="rId51" Type="http://schemas.openxmlformats.org/officeDocument/2006/relationships/hyperlink" Target="https://www.osha.gov/pls/oshaweb/owadisp.show_document?p_table=STANDARDS&amp;p_id=10068" TargetMode="External"/><Relationship Id="rId3" Type="http://schemas.openxmlformats.org/officeDocument/2006/relationships/settings" Target="settings.xml"/><Relationship Id="rId12" Type="http://schemas.openxmlformats.org/officeDocument/2006/relationships/hyperlink" Target="https://www.osha.gov/SLTC/respiratoryprotection/index.html" TargetMode="External"/><Relationship Id="rId17" Type="http://schemas.openxmlformats.org/officeDocument/2006/relationships/hyperlink" Target="https://www.osha.gov/pls/oshaweb/owadisp.show_document?p_table=STANDARDS&amp;p_id=10003" TargetMode="External"/><Relationship Id="rId25" Type="http://schemas.openxmlformats.org/officeDocument/2006/relationships/hyperlink" Target="https://www.osha.gov/pls/oshaweb/owadisp.show_document?p_table=STANDARDS&amp;p_id=10015" TargetMode="External"/><Relationship Id="rId33" Type="http://schemas.openxmlformats.org/officeDocument/2006/relationships/hyperlink" Target="https://www.osha.gov/SLTC/arsenic/index.html" TargetMode="External"/><Relationship Id="rId38" Type="http://schemas.openxmlformats.org/officeDocument/2006/relationships/hyperlink" Target="https://www.osha.gov/SLTC/cadmium/index.html" TargetMode="External"/><Relationship Id="rId46" Type="http://schemas.openxmlformats.org/officeDocument/2006/relationships/hyperlink" Target="https://www.osha.gov/pls/oshaweb/owadisp.show_document?p_table=STANDARDS&amp;p_id=10053" TargetMode="External"/><Relationship Id="rId59" Type="http://schemas.openxmlformats.org/officeDocument/2006/relationships/hyperlink" Target="https://www.osha.gov/pls/oshaweb/owadisp.show_document?p_table=STANDARDS&amp;p_id=10094" TargetMode="External"/><Relationship Id="rId67" Type="http://schemas.openxmlformats.org/officeDocument/2006/relationships/hyperlink" Target="https://www.osha.gov/pls/oshaweb/owadisp.show_document?p_table=INTERPRETATIONS&amp;p_id=19183" TargetMode="External"/><Relationship Id="rId20" Type="http://schemas.openxmlformats.org/officeDocument/2006/relationships/hyperlink" Target="https://www.osha.gov/pls/oshaweb/owadisp.show_document?p_table=STANDARDS&amp;p_id=10010" TargetMode="External"/><Relationship Id="rId41" Type="http://schemas.openxmlformats.org/officeDocument/2006/relationships/hyperlink" Target="https://www.osha.gov/pls/oshaweb/owadisp.show_document?p_table=STANDARDS&amp;p_id=10045" TargetMode="External"/><Relationship Id="rId54" Type="http://schemas.openxmlformats.org/officeDocument/2006/relationships/hyperlink" Target="https://www.osha.gov/pls/oshaweb/owadisp.show_document?p_table=STANDARDS&amp;p_id=10073" TargetMode="External"/><Relationship Id="rId62" Type="http://schemas.openxmlformats.org/officeDocument/2006/relationships/hyperlink" Target="https://www.osha.gov/pls/oshaweb/owadisp.show_document?p_table=DIRECTIVES&amp;p_id=1765" TargetMode="External"/><Relationship Id="rId1" Type="http://schemas.openxmlformats.org/officeDocument/2006/relationships/numbering" Target="numbering.xml"/><Relationship Id="rId6" Type="http://schemas.openxmlformats.org/officeDocument/2006/relationships/hyperlink" Target="https://www.osha.gov/pls/oshaweb/owastand.display_standard_group?p_toc_level=1&amp;p_part_number=1910" TargetMode="External"/><Relationship Id="rId15" Type="http://schemas.openxmlformats.org/officeDocument/2006/relationships/hyperlink" Target="https://www.osha.gov/pls/oshaweb/owadisp.show_document?p_table=STANDARDS&amp;p_id=9995" TargetMode="External"/><Relationship Id="rId23" Type="http://schemas.openxmlformats.org/officeDocument/2006/relationships/hyperlink" Target="https://www.osha.gov/pls/oshaweb/owadisp.show_document?p_table=STANDARDS&amp;p_id=10013" TargetMode="External"/><Relationship Id="rId28" Type="http://schemas.openxmlformats.org/officeDocument/2006/relationships/hyperlink" Target="https://www.osha.gov/pls/oshaweb/owadisp.show_document?p_table=STANDARDS&amp;p_id=10018" TargetMode="External"/><Relationship Id="rId36" Type="http://schemas.openxmlformats.org/officeDocument/2006/relationships/hyperlink" Target="https://www.osha.gov/SLTC/lead/index.html" TargetMode="External"/><Relationship Id="rId49" Type="http://schemas.openxmlformats.org/officeDocument/2006/relationships/hyperlink" Target="https://www.osha.gov/pls/oshaweb/owadisp.show_document?p_table=STANDARDS&amp;p_id=10064" TargetMode="External"/><Relationship Id="rId57" Type="http://schemas.openxmlformats.org/officeDocument/2006/relationships/hyperlink" Target="https://www.osha.gov/pls/oshaweb/owadisp.show_document?p_table=STANDARDS&amp;p_id=10081" TargetMode="External"/><Relationship Id="rId10" Type="http://schemas.openxmlformats.org/officeDocument/2006/relationships/hyperlink" Target="https://www.osha.gov/SLTC/personalprotectiveequipment/index.html" TargetMode="External"/><Relationship Id="rId31" Type="http://schemas.openxmlformats.org/officeDocument/2006/relationships/hyperlink" Target="https://www.osha.gov/pls/oshaweb/owadisp.show_document?p_table=STANDARDS&amp;p_id=10021" TargetMode="External"/><Relationship Id="rId44" Type="http://schemas.openxmlformats.org/officeDocument/2006/relationships/hyperlink" Target="https://www.osha.gov/pls/oshaweb/owadisp.show_document?p_table=STANDARDS&amp;p_id=10051" TargetMode="External"/><Relationship Id="rId52" Type="http://schemas.openxmlformats.org/officeDocument/2006/relationships/hyperlink" Target="https://www.osha.gov/pls/oshaweb/owadisp.show_document?p_table=STANDARDS&amp;p_id=10070" TargetMode="External"/><Relationship Id="rId60" Type="http://schemas.openxmlformats.org/officeDocument/2006/relationships/hyperlink" Target="https://www.osha.gov/pls/oshaweb/owadisp.show_document?p_table=STANDARDS&amp;p_id=10096" TargetMode="External"/><Relationship Id="rId65" Type="http://schemas.openxmlformats.org/officeDocument/2006/relationships/hyperlink" Target="https://www.osha.gov/pls/oshaweb/owadisp.show_document?p_table=INTERPRETATIONS&amp;p_id=22489" TargetMode="External"/><Relationship Id="rId4" Type="http://schemas.openxmlformats.org/officeDocument/2006/relationships/webSettings" Target="webSettings.xml"/><Relationship Id="rId9" Type="http://schemas.openxmlformats.org/officeDocument/2006/relationships/hyperlink" Target="https://www.osha.gov/pls/oshaweb/owastand.display_standard_group?p_toc_level=1&amp;p_part_number=1910" TargetMode="External"/><Relationship Id="rId13" Type="http://schemas.openxmlformats.org/officeDocument/2006/relationships/hyperlink" Target="https://www.osha.gov/pls/oshaweb/owastand.display_standard_group?p_toc_level=1&amp;p_part_number=1910" TargetMode="External"/><Relationship Id="rId18" Type="http://schemas.openxmlformats.org/officeDocument/2006/relationships/hyperlink" Target="https://www.osha.gov/pls/oshaweb/owadisp.show_document?p_table=STANDARDS&amp;p_id=10007" TargetMode="External"/><Relationship Id="rId39" Type="http://schemas.openxmlformats.org/officeDocument/2006/relationships/hyperlink" Target="https://www.osha.gov/pls/oshaweb/owadisp.show_document?p_table=STANDARDS&amp;p_id=10042" TargetMode="External"/><Relationship Id="rId34" Type="http://schemas.openxmlformats.org/officeDocument/2006/relationships/hyperlink" Target="https://www.osha.gov/pls/oshaweb/owadisp.show_document?p_table=STANDARDS&amp;p_id=10026" TargetMode="External"/><Relationship Id="rId50" Type="http://schemas.openxmlformats.org/officeDocument/2006/relationships/hyperlink" Target="https://www.osha.gov/pls/oshaweb/owadisp.show_document?p_table=STANDARDS&amp;p_id=10065" TargetMode="External"/><Relationship Id="rId55" Type="http://schemas.openxmlformats.org/officeDocument/2006/relationships/hyperlink" Target="https://www.osha.gov/pls/oshaweb/owadisp.show_document?p_table=STANDARDS&amp;p_id=10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Selvin McLean</dc:creator>
  <cp:keywords/>
  <dc:description/>
  <cp:lastModifiedBy>Selvin McLean</cp:lastModifiedBy>
  <cp:revision>1</cp:revision>
  <dcterms:created xsi:type="dcterms:W3CDTF">2019-08-26T11:31:00Z</dcterms:created>
  <dcterms:modified xsi:type="dcterms:W3CDTF">2019-08-26T11:32:00Z</dcterms:modified>
</cp:coreProperties>
</file>